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4, du 1er mars au 16 avril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pacing w:val="2"/>
          <w:sz w:val="26"/>
          <w:szCs w:val="26"/>
          <w:rtl w:val="0"/>
        </w:rPr>
        <w:t>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L.1er, Ma.2, Me.3, J.4, V.5, L.8, Ma.9, Me.10, J.11, V.12, L.15, Ma.16, Me.17, J.18, V.19, L.22, Ma.23, Me.24, J.25, V.26, L.29, Ma.30, Me.31 mars 2021, J.1, V.2, L.5, Ma.6, Me.7, J.8, V.9, L.12, Ma.13, Me.14, J.15, V.16 avril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