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le mardi 10 septembre 2024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z w:val="26"/>
          <w:szCs w:val="26"/>
          <w:rtl w:val="0"/>
        </w:rPr>
        <w:t>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Je 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..................., d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clare avoir l'intention de participer 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 xml:space="preserve">à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la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journ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e de </w:t>
      </w:r>
      <w:r>
        <w:rPr>
          <w:rFonts w:ascii="Avenir Book" w:hAnsi="Avenir Book"/>
          <w:spacing w:val="2"/>
          <w:sz w:val="26"/>
          <w:szCs w:val="26"/>
          <w:rtl w:val="0"/>
        </w:rPr>
        <w:t>gr</w:t>
      </w:r>
      <w:r>
        <w:rPr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pacing w:val="2"/>
          <w:sz w:val="26"/>
          <w:szCs w:val="26"/>
          <w:rtl w:val="0"/>
          <w:lang w:val="en-US"/>
        </w:rPr>
        <w:t xml:space="preserve">ve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du mardi 10 </w:t>
      </w:r>
      <w:r>
        <w:rPr>
          <w:rFonts w:ascii="Avenir Book" w:hAnsi="Avenir Book"/>
          <w:spacing w:val="2"/>
          <w:sz w:val="26"/>
          <w:szCs w:val="26"/>
          <w:rtl w:val="0"/>
        </w:rPr>
        <w:t>septembre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 2024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