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26" w:rsidRDefault="003D1926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3D1926" w:rsidRDefault="003D1926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3D1926" w:rsidRDefault="003D1926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3D1926" w:rsidRDefault="003D1926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56E6C" w:rsidRPr="00856E6C" w:rsidRDefault="00856E6C" w:rsidP="003D1926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856E6C">
        <w:rPr>
          <w:rFonts w:ascii="Arial" w:eastAsia="Arial" w:hAnsi="Arial" w:cs="Arial"/>
          <w:sz w:val="32"/>
          <w:szCs w:val="32"/>
          <w:u w:val="single"/>
        </w:rPr>
        <w:t>ANNEXE 4</w:t>
      </w:r>
      <w:r w:rsidR="003D1926">
        <w:rPr>
          <w:rFonts w:ascii="Arial" w:eastAsia="Arial" w:hAnsi="Arial" w:cs="Arial"/>
          <w:sz w:val="32"/>
          <w:szCs w:val="32"/>
          <w:u w:val="single"/>
        </w:rPr>
        <w:t xml:space="preserve"> : </w:t>
      </w:r>
      <w:r w:rsidRPr="00856E6C">
        <w:rPr>
          <w:rFonts w:ascii="Arial" w:eastAsia="Arial" w:hAnsi="Arial" w:cs="Arial"/>
          <w:sz w:val="32"/>
          <w:szCs w:val="32"/>
          <w:u w:val="single"/>
        </w:rPr>
        <w:t xml:space="preserve">CAS PARTICULIER DES TITULAIRES REMPLAÇANTS, DES DIRECTEURS D’ECOLE ET DES ENSEIGNANTS EN SEGPA </w:t>
      </w:r>
      <w:bookmarkStart w:id="0" w:name="_GoBack"/>
      <w:bookmarkEnd w:id="0"/>
      <w:r w:rsidRPr="00856E6C">
        <w:rPr>
          <w:rFonts w:ascii="Arial" w:eastAsia="Arial" w:hAnsi="Arial" w:cs="Arial"/>
          <w:sz w:val="32"/>
          <w:szCs w:val="32"/>
          <w:u w:val="single"/>
        </w:rPr>
        <w:t>ET EREA</w:t>
      </w:r>
    </w:p>
    <w:p w:rsidR="00856E6C" w:rsidRPr="003D1926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b/>
          <w:sz w:val="20"/>
          <w:szCs w:val="32"/>
        </w:rPr>
      </w:pPr>
    </w:p>
    <w:p w:rsid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 xml:space="preserve">Il est rappelé que pour des raisons d’organisation et de continuité du service d’enseignement, l’exercice des fonctions de titulaire remplaçant et de directeur d’école est </w:t>
      </w:r>
      <w:r>
        <w:rPr>
          <w:rFonts w:ascii="Arial" w:eastAsia="Arial" w:hAnsi="Arial" w:cs="Arial"/>
          <w:sz w:val="20"/>
          <w:szCs w:val="20"/>
        </w:rPr>
        <w:t xml:space="preserve">difficilement </w:t>
      </w:r>
      <w:r w:rsidRPr="00856E6C">
        <w:rPr>
          <w:rFonts w:ascii="Arial" w:eastAsia="Arial" w:hAnsi="Arial" w:cs="Arial"/>
          <w:sz w:val="20"/>
          <w:szCs w:val="20"/>
        </w:rPr>
        <w:t xml:space="preserve">compatible avec le bénéfice d’un temps partiel. </w:t>
      </w:r>
    </w:p>
    <w:p w:rsid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 xml:space="preserve">D'une manière générale, tout enseignant affecté sur des fonctions de titulaire remplaçant ou de directeur d’école </w:t>
      </w:r>
      <w:r>
        <w:rPr>
          <w:rFonts w:ascii="Arial" w:eastAsia="Arial" w:hAnsi="Arial" w:cs="Arial"/>
          <w:sz w:val="20"/>
          <w:szCs w:val="20"/>
        </w:rPr>
        <w:t xml:space="preserve">qui souhaite </w:t>
      </w:r>
      <w:r w:rsidRPr="00856E6C">
        <w:rPr>
          <w:rFonts w:ascii="Arial" w:eastAsia="Arial" w:hAnsi="Arial" w:cs="Arial"/>
          <w:sz w:val="20"/>
          <w:szCs w:val="20"/>
        </w:rPr>
        <w:t xml:space="preserve">exercer ses fonctions à temps partiel sur autorisation </w:t>
      </w:r>
      <w:r>
        <w:rPr>
          <w:rFonts w:ascii="Arial" w:eastAsia="Arial" w:hAnsi="Arial" w:cs="Arial"/>
          <w:sz w:val="20"/>
          <w:szCs w:val="20"/>
        </w:rPr>
        <w:t>est</w:t>
      </w:r>
      <w:r w:rsidRPr="00856E6C">
        <w:rPr>
          <w:rFonts w:ascii="Arial" w:eastAsia="Arial" w:hAnsi="Arial" w:cs="Arial"/>
          <w:sz w:val="20"/>
          <w:szCs w:val="20"/>
        </w:rPr>
        <w:t xml:space="preserve"> invité à motiver ses choix au cours d'un entretien particulier</w:t>
      </w:r>
      <w:r>
        <w:rPr>
          <w:rFonts w:ascii="Arial" w:eastAsia="Arial" w:hAnsi="Arial" w:cs="Arial"/>
          <w:sz w:val="20"/>
          <w:szCs w:val="20"/>
        </w:rPr>
        <w:t xml:space="preserve"> auprès de son inspecteur de l’éducation nationale</w:t>
      </w:r>
      <w:r w:rsidRPr="00856E6C">
        <w:rPr>
          <w:rFonts w:ascii="Arial" w:eastAsia="Arial" w:hAnsi="Arial" w:cs="Arial"/>
          <w:sz w:val="20"/>
          <w:szCs w:val="20"/>
        </w:rPr>
        <w:t xml:space="preserve">. À l'issue de celui-ci, il sera informé par écrit des motifs d’une éventuelle décision de refus de temps partiel prise à son encontre ou d’une proposition de changement d’affectation pour l’année scolaire. 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856E6C">
        <w:rPr>
          <w:rFonts w:ascii="Arial" w:eastAsia="Arial" w:hAnsi="Arial" w:cs="Arial"/>
          <w:b/>
          <w:sz w:val="20"/>
          <w:szCs w:val="20"/>
        </w:rPr>
        <w:t>Les enseignants participant au mouvement départemental :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Les candidats bénéficiant d’un temps partiel de droit, nommés à titre définitif sur ces fonctions lors du mouvement intra départemental 2021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Pr="00856E6C">
        <w:rPr>
          <w:rFonts w:ascii="Arial" w:eastAsia="Arial" w:hAnsi="Arial" w:cs="Arial"/>
          <w:sz w:val="20"/>
          <w:szCs w:val="20"/>
        </w:rPr>
        <w:t>ont affectés à titre provisoire sur un poste vacant ou libéré de chargé de classe. Ils</w:t>
      </w:r>
      <w:r>
        <w:rPr>
          <w:rFonts w:ascii="Arial" w:eastAsia="Arial" w:hAnsi="Arial" w:cs="Arial"/>
          <w:sz w:val="20"/>
          <w:szCs w:val="20"/>
        </w:rPr>
        <w:t xml:space="preserve"> ne peuven</w:t>
      </w:r>
      <w:r w:rsidRPr="00856E6C">
        <w:rPr>
          <w:rFonts w:ascii="Arial" w:eastAsia="Arial" w:hAnsi="Arial" w:cs="Arial"/>
          <w:sz w:val="20"/>
          <w:szCs w:val="20"/>
        </w:rPr>
        <w:t>t bénéficier ni des indemnités de sujétions spéciales de remplacement (ISSR) ni des indemnités de direct</w:t>
      </w:r>
      <w:r>
        <w:rPr>
          <w:rFonts w:ascii="Arial" w:eastAsia="Arial" w:hAnsi="Arial" w:cs="Arial"/>
          <w:sz w:val="20"/>
          <w:szCs w:val="20"/>
        </w:rPr>
        <w:t>ion. En revanche, ils conserve</w:t>
      </w:r>
      <w:r w:rsidRPr="00856E6C">
        <w:rPr>
          <w:rFonts w:ascii="Arial" w:eastAsia="Arial" w:hAnsi="Arial" w:cs="Arial"/>
          <w:sz w:val="20"/>
          <w:szCs w:val="20"/>
        </w:rPr>
        <w:t>nt le bénéfice de leur poste à titre définitif durant la durée de l’exercice à temps partiel jusqu’au retour à un exercice à temps complet.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856E6C">
        <w:rPr>
          <w:rFonts w:ascii="Arial" w:eastAsia="Arial" w:hAnsi="Arial" w:cs="Arial"/>
          <w:b/>
          <w:sz w:val="20"/>
          <w:szCs w:val="20"/>
        </w:rPr>
        <w:t>Les titulaires remplaçants et les directeurs d’école en exercice :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Les titulaires remplaçants et les directeurs nommés à titre définitif</w:t>
      </w:r>
      <w:r>
        <w:rPr>
          <w:rFonts w:ascii="Arial" w:eastAsia="Arial" w:hAnsi="Arial" w:cs="Arial"/>
          <w:sz w:val="20"/>
          <w:szCs w:val="20"/>
        </w:rPr>
        <w:t xml:space="preserve"> sur ces missions qui présente</w:t>
      </w:r>
      <w:r w:rsidRPr="00856E6C">
        <w:rPr>
          <w:rFonts w:ascii="Arial" w:eastAsia="Arial" w:hAnsi="Arial" w:cs="Arial"/>
          <w:sz w:val="20"/>
          <w:szCs w:val="20"/>
        </w:rPr>
        <w:t xml:space="preserve">nt une demande d’exercice à temps partiel pour l’année scolaire 2021-2022 doivent participer au mouvement intra départemental 2021. Ils sont invités à formuler des vœux portant sur des postes compatibles avec l’exercice d’un temps partiel. 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En conséquence, suivant les situations d’une non-participation au mouvement ou de non s</w:t>
      </w:r>
      <w:r>
        <w:rPr>
          <w:rFonts w:ascii="Arial" w:eastAsia="Arial" w:hAnsi="Arial" w:cs="Arial"/>
          <w:sz w:val="20"/>
          <w:szCs w:val="20"/>
        </w:rPr>
        <w:t>atisfaction des vœux, ils peuve</w:t>
      </w:r>
      <w:r w:rsidRPr="00856E6C">
        <w:rPr>
          <w:rFonts w:ascii="Arial" w:eastAsia="Arial" w:hAnsi="Arial" w:cs="Arial"/>
          <w:sz w:val="20"/>
          <w:szCs w:val="20"/>
        </w:rPr>
        <w:t>nt être :</w:t>
      </w:r>
    </w:p>
    <w:p w:rsidR="00856E6C" w:rsidRPr="00856E6C" w:rsidRDefault="00856E6C" w:rsidP="00856E6C">
      <w:pPr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invités à exercer leur fonction à temps complet suite à l’opposition d’une décision de rejet  de la demande d’exercice à temps partiel sur autorisation,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 xml:space="preserve">affectés à titre provisoire sur un poste vacant ou libéré de chargé de classe en cas de demande d’exercice à temps partiel de droit présentée au cours de l’année scolaire 2021-2022. 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Ils ne peuve</w:t>
      </w:r>
      <w:r w:rsidRPr="00856E6C">
        <w:rPr>
          <w:rFonts w:ascii="Arial" w:eastAsia="Arial" w:hAnsi="Arial" w:cs="Arial"/>
          <w:sz w:val="20"/>
          <w:szCs w:val="20"/>
        </w:rPr>
        <w:t xml:space="preserve">nt prétendre au bénéfice des ISSR et des indemnités de direction le cas échéant. Ils </w:t>
      </w:r>
      <w:r w:rsidRPr="00856E6C">
        <w:rPr>
          <w:rFonts w:ascii="Arial" w:eastAsia="Arial" w:hAnsi="Arial" w:cs="Arial"/>
          <w:b/>
          <w:sz w:val="20"/>
          <w:szCs w:val="20"/>
        </w:rPr>
        <w:t>conserveront le bénéfice de leur poste à titre définitif</w:t>
      </w:r>
      <w:r w:rsidRPr="00856E6C">
        <w:rPr>
          <w:rFonts w:ascii="Arial" w:eastAsia="Arial" w:hAnsi="Arial" w:cs="Arial"/>
          <w:sz w:val="20"/>
          <w:szCs w:val="20"/>
        </w:rPr>
        <w:t xml:space="preserve">, en cas de temps partiel de droit (même obtenu en cours d’année). </w:t>
      </w: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856E6C" w:rsidRPr="00856E6C" w:rsidRDefault="00856E6C" w:rsidP="00856E6C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856E6C">
        <w:rPr>
          <w:rFonts w:ascii="Arial" w:eastAsia="Arial" w:hAnsi="Arial" w:cs="Arial"/>
          <w:sz w:val="20"/>
          <w:szCs w:val="20"/>
        </w:rPr>
        <w:t>Les demandes des professeurs des écoles exerçant en SEGPA et EREA feront l’objet d’un examen particulier en liaison avec le chef d’établissement et l’inspecteur de l’éducation nationale chargé de l’ASH.</w:t>
      </w:r>
    </w:p>
    <w:sectPr w:rsidR="00856E6C" w:rsidRPr="00856E6C" w:rsidSect="003D1926">
      <w:headerReference w:type="first" r:id="rId7"/>
      <w:footerReference w:type="first" r:id="rId8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26" w:rsidRDefault="003D1926" w:rsidP="003D1926">
      <w:pPr>
        <w:spacing w:after="0" w:line="240" w:lineRule="auto"/>
      </w:pPr>
      <w:r>
        <w:separator/>
      </w:r>
    </w:p>
  </w:endnote>
  <w:endnote w:type="continuationSeparator" w:id="0">
    <w:p w:rsidR="003D1926" w:rsidRDefault="003D1926" w:rsidP="003D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26" w:rsidRPr="003D6FC8" w:rsidRDefault="003D1926" w:rsidP="003D192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 de la gestion individuelle administrative et financière</w:t>
    </w:r>
  </w:p>
  <w:p w:rsidR="003D1926" w:rsidRPr="003D6FC8" w:rsidRDefault="003D1926" w:rsidP="003D1926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>
      <w:rPr>
        <w:sz w:val="16"/>
        <w:szCs w:val="16"/>
      </w:rPr>
      <w:t>01 44 62 43 50</w:t>
    </w:r>
  </w:p>
  <w:p w:rsidR="003D1926" w:rsidRPr="003D6FC8" w:rsidRDefault="003D1926" w:rsidP="003D1926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>
      <w:rPr>
        <w:sz w:val="16"/>
        <w:szCs w:val="16"/>
      </w:rPr>
      <w:t xml:space="preserve"> : </w:t>
    </w:r>
    <w:r w:rsidRPr="00D070CD">
      <w:rPr>
        <w:rStyle w:val="Lienhypertexte"/>
        <w:sz w:val="16"/>
        <w:szCs w:val="16"/>
      </w:rPr>
      <w:t>t</w:t>
    </w:r>
    <w:r>
      <w:rPr>
        <w:rStyle w:val="Lienhypertexte"/>
        <w:sz w:val="16"/>
        <w:szCs w:val="16"/>
      </w:rPr>
      <w:t>p2021@ac-paris.fr</w:t>
    </w:r>
    <w:r>
      <w:rPr>
        <w:sz w:val="16"/>
        <w:szCs w:val="16"/>
      </w:rPr>
      <w:t xml:space="preserve">  </w:t>
    </w:r>
  </w:p>
  <w:p w:rsidR="003D1926" w:rsidRPr="003D1926" w:rsidRDefault="003D1926" w:rsidP="003D1926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26" w:rsidRDefault="003D1926" w:rsidP="003D1926">
      <w:pPr>
        <w:spacing w:after="0" w:line="240" w:lineRule="auto"/>
      </w:pPr>
      <w:r>
        <w:separator/>
      </w:r>
    </w:p>
  </w:footnote>
  <w:footnote w:type="continuationSeparator" w:id="0">
    <w:p w:rsidR="003D1926" w:rsidRDefault="003D1926" w:rsidP="003D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26" w:rsidRDefault="003D1926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33A8713" wp14:editId="475C986D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57ED"/>
    <w:multiLevelType w:val="hybridMultilevel"/>
    <w:tmpl w:val="DA045B8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C"/>
    <w:rsid w:val="003D1926"/>
    <w:rsid w:val="00782B8E"/>
    <w:rsid w:val="00856E6C"/>
    <w:rsid w:val="0088134C"/>
    <w:rsid w:val="009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4E57-802E-4D5B-B396-9F4B1AA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926"/>
  </w:style>
  <w:style w:type="paragraph" w:styleId="Pieddepage">
    <w:name w:val="footer"/>
    <w:basedOn w:val="Normal"/>
    <w:link w:val="PieddepageCar"/>
    <w:uiPriority w:val="99"/>
    <w:unhideWhenUsed/>
    <w:rsid w:val="003D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926"/>
  </w:style>
  <w:style w:type="character" w:styleId="Lienhypertexte">
    <w:name w:val="Hyperlink"/>
    <w:basedOn w:val="Policepardfaut"/>
    <w:uiPriority w:val="99"/>
    <w:unhideWhenUsed/>
    <w:rsid w:val="003D1926"/>
    <w:rPr>
      <w:color w:val="0563C1" w:themeColor="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3D1926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D1926"/>
    <w:rPr>
      <w:rFonts w:ascii="Arial" w:hAnsi="Arial" w:cs="Arial"/>
      <w:color w:val="93959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Rectorat</cp:lastModifiedBy>
  <cp:revision>3</cp:revision>
  <dcterms:created xsi:type="dcterms:W3CDTF">2020-12-21T09:16:00Z</dcterms:created>
  <dcterms:modified xsi:type="dcterms:W3CDTF">2020-12-22T11:47:00Z</dcterms:modified>
</cp:coreProperties>
</file>