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5" w:rsidRPr="007B1B66" w:rsidRDefault="00C973F5" w:rsidP="00C973F5">
      <w:pPr>
        <w:spacing w:line="240" w:lineRule="exact"/>
        <w:ind w:left="28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B1B66">
        <w:rPr>
          <w:rFonts w:ascii="Arial" w:hAnsi="Arial" w:cs="Arial"/>
          <w:sz w:val="22"/>
          <w:szCs w:val="22"/>
        </w:rPr>
        <w:t>ANNEXE I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u w:val="single"/>
        </w:rPr>
      </w:pPr>
    </w:p>
    <w:p w:rsidR="00C973F5" w:rsidRDefault="00C973F5" w:rsidP="00C973F5">
      <w:pPr>
        <w:spacing w:line="240" w:lineRule="exact"/>
        <w:ind w:left="-24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Déroulement des c</w:t>
      </w:r>
      <w:r w:rsidRPr="00764FE0">
        <w:rPr>
          <w:rFonts w:ascii="Arial" w:hAnsi="Arial" w:cs="Arial"/>
          <w:u w:val="single"/>
        </w:rPr>
        <w:t>ommission</w:t>
      </w:r>
      <w:r>
        <w:rPr>
          <w:rFonts w:ascii="Arial" w:hAnsi="Arial" w:cs="Arial"/>
          <w:u w:val="single"/>
        </w:rPr>
        <w:t>s</w:t>
      </w:r>
      <w:r w:rsidRPr="00764FE0">
        <w:rPr>
          <w:rFonts w:ascii="Arial" w:hAnsi="Arial" w:cs="Arial"/>
          <w:u w:val="single"/>
        </w:rPr>
        <w:t xml:space="preserve"> d’entretiens</w:t>
      </w:r>
      <w:r>
        <w:rPr>
          <w:rFonts w:ascii="Arial" w:hAnsi="Arial" w:cs="Arial"/>
          <w:u w:val="single"/>
        </w:rPr>
        <w:t xml:space="preserve"> de direction d’école maternelle ou élémentaire</w:t>
      </w:r>
    </w:p>
    <w:p w:rsidR="00C973F5" w:rsidRDefault="00C973F5" w:rsidP="00C973F5">
      <w:pPr>
        <w:spacing w:line="240" w:lineRule="exact"/>
        <w:ind w:left="-2410"/>
        <w:rPr>
          <w:rFonts w:ascii="Arial" w:hAnsi="Arial" w:cs="Arial"/>
          <w:u w:val="single"/>
        </w:rPr>
      </w:pPr>
    </w:p>
    <w:p w:rsidR="00C973F5" w:rsidRDefault="00C973F5" w:rsidP="00C973F5">
      <w:pPr>
        <w:spacing w:line="240" w:lineRule="exact"/>
        <w:ind w:left="-2410"/>
        <w:rPr>
          <w:rFonts w:ascii="Arial" w:hAnsi="Arial" w:cs="Arial"/>
          <w:sz w:val="22"/>
          <w:szCs w:val="22"/>
          <w:u w:val="single"/>
        </w:rPr>
      </w:pPr>
      <w:r w:rsidRPr="00D9012D">
        <w:rPr>
          <w:rFonts w:ascii="Arial" w:hAnsi="Arial" w:cs="Arial"/>
          <w:sz w:val="22"/>
          <w:szCs w:val="22"/>
          <w:u w:val="single"/>
        </w:rPr>
        <w:t>►</w:t>
      </w:r>
      <w:r>
        <w:rPr>
          <w:rFonts w:ascii="Arial" w:hAnsi="Arial" w:cs="Arial"/>
          <w:sz w:val="22"/>
          <w:szCs w:val="22"/>
          <w:u w:val="single"/>
        </w:rPr>
        <w:t xml:space="preserve"> Conditions</w:t>
      </w:r>
    </w:p>
    <w:p w:rsidR="00C973F5" w:rsidRDefault="00C973F5" w:rsidP="00C973F5">
      <w:pPr>
        <w:spacing w:line="240" w:lineRule="exact"/>
        <w:ind w:left="-2410"/>
        <w:rPr>
          <w:rFonts w:ascii="Arial" w:hAnsi="Arial" w:cs="Arial"/>
          <w:sz w:val="22"/>
          <w:szCs w:val="22"/>
          <w:u w:val="single"/>
        </w:rPr>
      </w:pPr>
    </w:p>
    <w:p w:rsidR="00C973F5" w:rsidRPr="00D9012D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 w:rsidRPr="009A1707">
        <w:rPr>
          <w:rFonts w:ascii="Arial" w:hAnsi="Arial" w:cs="Arial"/>
          <w:sz w:val="22"/>
          <w:szCs w:val="22"/>
        </w:rPr>
        <w:t>Peuvent solliciter leur inscription sur les listes d'aptitude les instituteurs et professeurs des écoles</w:t>
      </w:r>
      <w:r>
        <w:rPr>
          <w:rFonts w:ascii="Arial" w:hAnsi="Arial" w:cs="Arial"/>
          <w:sz w:val="22"/>
          <w:szCs w:val="22"/>
        </w:rPr>
        <w:t xml:space="preserve"> titulaires comptant deux ans de services effectifs en qualité d’enseignant au 1</w:t>
      </w:r>
      <w:r w:rsidRPr="008B4848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septembre 2020.</w:t>
      </w:r>
    </w:p>
    <w:p w:rsidR="00C973F5" w:rsidRDefault="00C973F5" w:rsidP="00C973F5">
      <w:pPr>
        <w:spacing w:line="240" w:lineRule="exact"/>
        <w:ind w:left="-2410"/>
        <w:jc w:val="center"/>
        <w:rPr>
          <w:rFonts w:ascii="Arial" w:hAnsi="Arial" w:cs="Arial"/>
          <w:sz w:val="22"/>
          <w:szCs w:val="22"/>
        </w:rPr>
      </w:pPr>
    </w:p>
    <w:p w:rsidR="00C973F5" w:rsidRPr="009E7599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► Dépôt des candidatures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9A1707">
        <w:rPr>
          <w:rFonts w:ascii="Arial" w:hAnsi="Arial" w:cs="Arial"/>
          <w:sz w:val="22"/>
          <w:szCs w:val="22"/>
        </w:rPr>
        <w:t>Les candidats</w:t>
      </w:r>
      <w:r>
        <w:rPr>
          <w:rFonts w:ascii="Arial" w:hAnsi="Arial" w:cs="Arial"/>
          <w:sz w:val="22"/>
          <w:szCs w:val="22"/>
        </w:rPr>
        <w:t>(tes)</w:t>
      </w:r>
      <w:r w:rsidRPr="009A1707">
        <w:rPr>
          <w:rFonts w:ascii="Arial" w:hAnsi="Arial" w:cs="Arial"/>
          <w:sz w:val="22"/>
          <w:szCs w:val="22"/>
        </w:rPr>
        <w:t xml:space="preserve"> inscrits</w:t>
      </w:r>
      <w:r>
        <w:rPr>
          <w:rFonts w:ascii="Arial" w:hAnsi="Arial" w:cs="Arial"/>
          <w:sz w:val="22"/>
          <w:szCs w:val="22"/>
        </w:rPr>
        <w:t>(tes)</w:t>
      </w:r>
      <w:r w:rsidRPr="009A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la liste d’aptitude </w:t>
      </w:r>
      <w:r w:rsidRPr="009A1707">
        <w:rPr>
          <w:rFonts w:ascii="Arial" w:hAnsi="Arial" w:cs="Arial"/>
          <w:sz w:val="22"/>
          <w:szCs w:val="22"/>
        </w:rPr>
        <w:t>au titre de</w:t>
      </w:r>
      <w:r>
        <w:rPr>
          <w:rFonts w:ascii="Arial" w:hAnsi="Arial" w:cs="Arial"/>
          <w:sz w:val="22"/>
          <w:szCs w:val="22"/>
        </w:rPr>
        <w:t xml:space="preserve"> l’année</w:t>
      </w:r>
      <w:r w:rsidRPr="009A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2017</w:t>
      </w:r>
      <w:r w:rsidRPr="00606793">
        <w:rPr>
          <w:rFonts w:ascii="Arial" w:hAnsi="Arial" w:cs="Arial"/>
          <w:sz w:val="22"/>
          <w:szCs w:val="22"/>
        </w:rPr>
        <w:t>,</w:t>
      </w:r>
      <w:r w:rsidRPr="009E7599">
        <w:rPr>
          <w:rFonts w:ascii="Arial" w:hAnsi="Arial" w:cs="Arial"/>
          <w:sz w:val="22"/>
          <w:szCs w:val="22"/>
        </w:rPr>
        <w:t xml:space="preserve"> 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1707">
        <w:rPr>
          <w:rFonts w:ascii="Arial" w:hAnsi="Arial" w:cs="Arial"/>
          <w:sz w:val="22"/>
          <w:szCs w:val="22"/>
        </w:rPr>
        <w:t xml:space="preserve">qui n’ont pas été nommés sur un emploi </w:t>
      </w:r>
      <w:r w:rsidRPr="004E38E4">
        <w:rPr>
          <w:rFonts w:ascii="Arial" w:hAnsi="Arial" w:cs="Arial"/>
          <w:sz w:val="22"/>
          <w:szCs w:val="22"/>
        </w:rPr>
        <w:t>de directeur, doivent impérativement reformuler une demande d’inscription sur la liste d’aptitude et se présenter aux entretiens de direction afin de solliciter à nouveau leur inscription sur la liste d’aptitude prenant effet au 1</w:t>
      </w:r>
      <w:r w:rsidRPr="004E38E4">
        <w:rPr>
          <w:rFonts w:ascii="Arial" w:hAnsi="Arial" w:cs="Arial"/>
          <w:sz w:val="22"/>
          <w:szCs w:val="22"/>
          <w:vertAlign w:val="superscript"/>
        </w:rPr>
        <w:t>er</w:t>
      </w:r>
      <w:r w:rsidRPr="004E38E4">
        <w:rPr>
          <w:rFonts w:ascii="Arial" w:hAnsi="Arial" w:cs="Arial"/>
          <w:sz w:val="22"/>
          <w:szCs w:val="22"/>
        </w:rPr>
        <w:t xml:space="preserve"> septembre 20</w:t>
      </w:r>
      <w:r>
        <w:rPr>
          <w:rFonts w:ascii="Arial" w:hAnsi="Arial" w:cs="Arial"/>
          <w:sz w:val="22"/>
          <w:szCs w:val="22"/>
        </w:rPr>
        <w:t>20</w:t>
      </w:r>
      <w:r w:rsidRPr="004E38E4">
        <w:rPr>
          <w:rFonts w:ascii="Arial" w:hAnsi="Arial" w:cs="Arial"/>
          <w:sz w:val="22"/>
          <w:szCs w:val="22"/>
        </w:rPr>
        <w:t>.</w:t>
      </w: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enseignants</w:t>
      </w:r>
      <w:r w:rsidRPr="004E38E4">
        <w:rPr>
          <w:rFonts w:ascii="Arial" w:hAnsi="Arial" w:cs="Arial"/>
          <w:sz w:val="22"/>
          <w:szCs w:val="22"/>
        </w:rPr>
        <w:t xml:space="preserve"> souhaitant faire acte de candidature formuleront leur demande exclusivement sur un dossier </w:t>
      </w:r>
      <w:r w:rsidRPr="004E38E4">
        <w:rPr>
          <w:rFonts w:ascii="Arial" w:hAnsi="Arial" w:cs="Arial"/>
          <w:b/>
          <w:color w:val="auto"/>
          <w:sz w:val="22"/>
          <w:szCs w:val="22"/>
        </w:rPr>
        <w:t xml:space="preserve">vert </w:t>
      </w:r>
      <w:r w:rsidRPr="004E38E4">
        <w:rPr>
          <w:rFonts w:ascii="Arial" w:hAnsi="Arial" w:cs="Arial"/>
          <w:color w:val="auto"/>
          <w:sz w:val="22"/>
          <w:szCs w:val="22"/>
        </w:rPr>
        <w:t xml:space="preserve">disponible </w:t>
      </w:r>
      <w:r w:rsidRPr="004E38E4">
        <w:rPr>
          <w:rFonts w:ascii="Arial" w:hAnsi="Arial" w:cs="Arial"/>
          <w:sz w:val="22"/>
          <w:szCs w:val="22"/>
        </w:rPr>
        <w:t xml:space="preserve">au secrétariat de la circonscription dont ils relèvent. Les dossiers de candidature, dûment complétés, devront parvenir au </w:t>
      </w:r>
      <w:r w:rsidRPr="004E38E4">
        <w:rPr>
          <w:rFonts w:ascii="Arial" w:hAnsi="Arial" w:cs="Arial"/>
          <w:color w:val="auto"/>
          <w:sz w:val="22"/>
          <w:szCs w:val="22"/>
        </w:rPr>
        <w:t>secrétariat de l'inspecteur de l’</w:t>
      </w:r>
      <w:r>
        <w:rPr>
          <w:rFonts w:ascii="Arial" w:hAnsi="Arial" w:cs="Arial"/>
          <w:color w:val="auto"/>
          <w:sz w:val="22"/>
          <w:szCs w:val="22"/>
        </w:rPr>
        <w:t>é</w:t>
      </w:r>
      <w:r w:rsidRPr="004E38E4">
        <w:rPr>
          <w:rFonts w:ascii="Arial" w:hAnsi="Arial" w:cs="Arial"/>
          <w:color w:val="auto"/>
          <w:sz w:val="22"/>
          <w:szCs w:val="22"/>
        </w:rPr>
        <w:t xml:space="preserve">ducation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4E38E4">
        <w:rPr>
          <w:rFonts w:ascii="Arial" w:hAnsi="Arial" w:cs="Arial"/>
          <w:color w:val="auto"/>
          <w:sz w:val="22"/>
          <w:szCs w:val="22"/>
        </w:rPr>
        <w:t>ationale</w:t>
      </w:r>
      <w:r w:rsidRPr="004E38E4">
        <w:rPr>
          <w:color w:val="auto"/>
        </w:rPr>
        <w:t> :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center"/>
        <w:rPr>
          <w:rFonts w:ascii="Arial" w:hAnsi="Arial" w:cs="Arial"/>
          <w:b/>
          <w:sz w:val="22"/>
          <w:szCs w:val="22"/>
        </w:rPr>
      </w:pPr>
      <w:r w:rsidRPr="004E38E4">
        <w:rPr>
          <w:rFonts w:ascii="Arial" w:hAnsi="Arial" w:cs="Arial"/>
          <w:b/>
          <w:sz w:val="22"/>
          <w:szCs w:val="22"/>
        </w:rPr>
        <w:t>Le vendredi 1</w:t>
      </w:r>
      <w:r>
        <w:rPr>
          <w:rFonts w:ascii="Arial" w:hAnsi="Arial" w:cs="Arial"/>
          <w:b/>
          <w:sz w:val="22"/>
          <w:szCs w:val="22"/>
        </w:rPr>
        <w:t>1</w:t>
      </w:r>
      <w:r w:rsidRPr="004E38E4">
        <w:rPr>
          <w:rFonts w:ascii="Arial" w:hAnsi="Arial" w:cs="Arial"/>
          <w:b/>
          <w:sz w:val="22"/>
          <w:szCs w:val="22"/>
        </w:rPr>
        <w:t xml:space="preserve"> octobre 201</w:t>
      </w:r>
      <w:r>
        <w:rPr>
          <w:rFonts w:ascii="Arial" w:hAnsi="Arial" w:cs="Arial"/>
          <w:b/>
          <w:sz w:val="22"/>
          <w:szCs w:val="22"/>
        </w:rPr>
        <w:t>9</w:t>
      </w:r>
      <w:r w:rsidRPr="004E38E4">
        <w:rPr>
          <w:rFonts w:ascii="Arial" w:hAnsi="Arial" w:cs="Arial"/>
          <w:b/>
          <w:sz w:val="22"/>
          <w:szCs w:val="22"/>
        </w:rPr>
        <w:t xml:space="preserve"> au plus tard,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inspecteurs</w:t>
      </w:r>
      <w:r w:rsidRPr="004E38E4">
        <w:rPr>
          <w:rFonts w:ascii="Arial" w:hAnsi="Arial" w:cs="Arial"/>
          <w:sz w:val="22"/>
          <w:szCs w:val="22"/>
        </w:rPr>
        <w:t xml:space="preserve"> de l’</w:t>
      </w:r>
      <w:r>
        <w:rPr>
          <w:rFonts w:ascii="Arial" w:hAnsi="Arial" w:cs="Arial"/>
          <w:sz w:val="22"/>
          <w:szCs w:val="22"/>
        </w:rPr>
        <w:t>é</w:t>
      </w:r>
      <w:r w:rsidRPr="004E38E4">
        <w:rPr>
          <w:rFonts w:ascii="Arial" w:hAnsi="Arial" w:cs="Arial"/>
          <w:sz w:val="22"/>
          <w:szCs w:val="22"/>
        </w:rPr>
        <w:t xml:space="preserve">ducation </w:t>
      </w:r>
      <w:r>
        <w:rPr>
          <w:rFonts w:ascii="Arial" w:hAnsi="Arial" w:cs="Arial"/>
          <w:sz w:val="22"/>
          <w:szCs w:val="22"/>
        </w:rPr>
        <w:t>n</w:t>
      </w:r>
      <w:r w:rsidRPr="004E38E4">
        <w:rPr>
          <w:rFonts w:ascii="Arial" w:hAnsi="Arial" w:cs="Arial"/>
          <w:sz w:val="22"/>
          <w:szCs w:val="22"/>
        </w:rPr>
        <w:t>ationale adresseront les dossiers à la division des personnels enseignants du 1</w:t>
      </w:r>
      <w:r w:rsidRPr="004E38E4">
        <w:rPr>
          <w:rFonts w:ascii="Arial" w:hAnsi="Arial" w:cs="Arial"/>
          <w:sz w:val="22"/>
          <w:szCs w:val="22"/>
          <w:vertAlign w:val="superscript"/>
        </w:rPr>
        <w:t>er</w:t>
      </w:r>
      <w:r w:rsidRPr="004E38E4">
        <w:rPr>
          <w:rFonts w:ascii="Arial" w:hAnsi="Arial" w:cs="Arial"/>
          <w:sz w:val="22"/>
          <w:szCs w:val="22"/>
        </w:rPr>
        <w:t xml:space="preserve"> degré public - bureau DE2, bureau 2033, pour le vendredi 1</w:t>
      </w:r>
      <w:r>
        <w:rPr>
          <w:rFonts w:ascii="Arial" w:hAnsi="Arial" w:cs="Arial"/>
          <w:sz w:val="22"/>
          <w:szCs w:val="22"/>
        </w:rPr>
        <w:t>8</w:t>
      </w:r>
      <w:r w:rsidRPr="004E38E4">
        <w:rPr>
          <w:rFonts w:ascii="Arial" w:hAnsi="Arial" w:cs="Arial"/>
          <w:sz w:val="22"/>
          <w:szCs w:val="22"/>
        </w:rPr>
        <w:t xml:space="preserve"> octobre 201</w:t>
      </w:r>
      <w:r>
        <w:rPr>
          <w:rFonts w:ascii="Arial" w:hAnsi="Arial" w:cs="Arial"/>
          <w:sz w:val="22"/>
          <w:szCs w:val="22"/>
        </w:rPr>
        <w:t>9</w:t>
      </w:r>
      <w:r w:rsidRPr="004E38E4">
        <w:rPr>
          <w:rFonts w:ascii="Arial" w:hAnsi="Arial" w:cs="Arial"/>
          <w:sz w:val="22"/>
          <w:szCs w:val="22"/>
        </w:rPr>
        <w:t>, délai de rigueur.</w:t>
      </w:r>
    </w:p>
    <w:p w:rsidR="00C973F5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 volontaires remplaçants</w:t>
      </w:r>
      <w:r w:rsidRPr="004E38E4">
        <w:rPr>
          <w:rFonts w:ascii="Arial" w:hAnsi="Arial" w:cs="Arial"/>
          <w:sz w:val="22"/>
          <w:szCs w:val="22"/>
        </w:rPr>
        <w:t xml:space="preserve"> de la </w:t>
      </w:r>
      <w:r w:rsidRPr="004E38E4">
        <w:rPr>
          <w:rFonts w:ascii="Arial" w:hAnsi="Arial" w:cs="Arial"/>
          <w:b/>
          <w:sz w:val="22"/>
          <w:szCs w:val="22"/>
        </w:rPr>
        <w:t xml:space="preserve">brigade de circonscription adresseront leur dossier </w:t>
      </w:r>
      <w:r>
        <w:rPr>
          <w:rFonts w:ascii="Arial" w:hAnsi="Arial" w:cs="Arial"/>
          <w:b/>
          <w:sz w:val="22"/>
          <w:szCs w:val="22"/>
        </w:rPr>
        <w:t>à la circonscription de remplacement</w:t>
      </w:r>
      <w:r w:rsidRPr="004E38E4">
        <w:rPr>
          <w:rFonts w:ascii="Arial" w:hAnsi="Arial" w:cs="Arial"/>
          <w:sz w:val="22"/>
          <w:szCs w:val="22"/>
        </w:rPr>
        <w:t xml:space="preserve"> pour le </w:t>
      </w:r>
      <w:r w:rsidRPr="0013218A">
        <w:rPr>
          <w:rFonts w:ascii="Arial" w:hAnsi="Arial" w:cs="Arial"/>
          <w:b/>
          <w:sz w:val="22"/>
          <w:szCs w:val="22"/>
        </w:rPr>
        <w:t>vendredi 1</w:t>
      </w:r>
      <w:r>
        <w:rPr>
          <w:rFonts w:ascii="Arial" w:hAnsi="Arial" w:cs="Arial"/>
          <w:b/>
          <w:sz w:val="22"/>
          <w:szCs w:val="22"/>
        </w:rPr>
        <w:t>1</w:t>
      </w:r>
      <w:r w:rsidRPr="0013218A">
        <w:rPr>
          <w:rFonts w:ascii="Arial" w:hAnsi="Arial" w:cs="Arial"/>
          <w:b/>
          <w:sz w:val="22"/>
          <w:szCs w:val="22"/>
        </w:rPr>
        <w:t xml:space="preserve"> octobre 2019</w:t>
      </w:r>
      <w:r w:rsidRPr="004E38E4">
        <w:rPr>
          <w:rFonts w:ascii="Arial" w:hAnsi="Arial" w:cs="Arial"/>
          <w:sz w:val="22"/>
          <w:szCs w:val="22"/>
        </w:rPr>
        <w:t>, délai de rigueur.</w:t>
      </w:r>
    </w:p>
    <w:p w:rsidR="00C973F5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candidats</w:t>
      </w:r>
      <w:r w:rsidRPr="004E38E4">
        <w:rPr>
          <w:rFonts w:ascii="Arial" w:hAnsi="Arial" w:cs="Arial"/>
          <w:sz w:val="22"/>
          <w:szCs w:val="22"/>
        </w:rPr>
        <w:t xml:space="preserve"> volontaires remplaçants</w:t>
      </w:r>
      <w:r>
        <w:rPr>
          <w:rFonts w:ascii="Arial" w:hAnsi="Arial" w:cs="Arial"/>
          <w:sz w:val="22"/>
          <w:szCs w:val="22"/>
        </w:rPr>
        <w:t xml:space="preserve"> </w:t>
      </w:r>
      <w:r w:rsidRPr="004E38E4">
        <w:rPr>
          <w:rFonts w:ascii="Arial" w:hAnsi="Arial" w:cs="Arial"/>
          <w:sz w:val="22"/>
          <w:szCs w:val="22"/>
        </w:rPr>
        <w:t xml:space="preserve">de la </w:t>
      </w:r>
      <w:r w:rsidRPr="004E38E4">
        <w:rPr>
          <w:rFonts w:ascii="Arial" w:hAnsi="Arial" w:cs="Arial"/>
          <w:b/>
          <w:sz w:val="22"/>
          <w:szCs w:val="22"/>
        </w:rPr>
        <w:t xml:space="preserve">brigade </w:t>
      </w:r>
      <w:r>
        <w:rPr>
          <w:rFonts w:ascii="Arial" w:hAnsi="Arial" w:cs="Arial"/>
          <w:b/>
          <w:sz w:val="22"/>
          <w:szCs w:val="22"/>
        </w:rPr>
        <w:t>école</w:t>
      </w:r>
      <w:r w:rsidRPr="004E38E4">
        <w:rPr>
          <w:rFonts w:ascii="Arial" w:hAnsi="Arial" w:cs="Arial"/>
          <w:b/>
          <w:sz w:val="22"/>
          <w:szCs w:val="22"/>
        </w:rPr>
        <w:t xml:space="preserve"> adresseront leur dossier </w:t>
      </w:r>
      <w:r>
        <w:rPr>
          <w:rFonts w:ascii="Arial" w:hAnsi="Arial" w:cs="Arial"/>
          <w:b/>
          <w:sz w:val="22"/>
          <w:szCs w:val="22"/>
        </w:rPr>
        <w:t>à la circonscription de rattachement</w:t>
      </w:r>
      <w:r w:rsidRPr="004E38E4">
        <w:rPr>
          <w:rFonts w:ascii="Arial" w:hAnsi="Arial" w:cs="Arial"/>
          <w:sz w:val="22"/>
          <w:szCs w:val="22"/>
        </w:rPr>
        <w:t xml:space="preserve"> pour le </w:t>
      </w:r>
      <w:r w:rsidRPr="0013218A">
        <w:rPr>
          <w:rFonts w:ascii="Arial" w:hAnsi="Arial" w:cs="Arial"/>
          <w:b/>
          <w:sz w:val="22"/>
          <w:szCs w:val="22"/>
        </w:rPr>
        <w:t>vendredi 1</w:t>
      </w:r>
      <w:r>
        <w:rPr>
          <w:rFonts w:ascii="Arial" w:hAnsi="Arial" w:cs="Arial"/>
          <w:b/>
          <w:sz w:val="22"/>
          <w:szCs w:val="22"/>
        </w:rPr>
        <w:t>1</w:t>
      </w:r>
      <w:r w:rsidRPr="0013218A">
        <w:rPr>
          <w:rFonts w:ascii="Arial" w:hAnsi="Arial" w:cs="Arial"/>
          <w:b/>
          <w:sz w:val="22"/>
          <w:szCs w:val="22"/>
        </w:rPr>
        <w:t xml:space="preserve"> octobre 2019</w:t>
      </w:r>
      <w:r>
        <w:rPr>
          <w:rFonts w:ascii="Arial" w:hAnsi="Arial" w:cs="Arial"/>
          <w:sz w:val="22"/>
          <w:szCs w:val="22"/>
        </w:rPr>
        <w:t>, délai de rigueur.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 w:rsidRPr="004E38E4">
        <w:rPr>
          <w:rFonts w:ascii="Arial" w:hAnsi="Arial" w:cs="Arial"/>
          <w:sz w:val="22"/>
          <w:szCs w:val="22"/>
          <w:u w:val="single"/>
        </w:rPr>
        <w:t>► Convocation aux entretiens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color w:val="0000FF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Les entretiens se dérouleront le mercredi 2</w:t>
      </w:r>
      <w:r>
        <w:rPr>
          <w:rFonts w:ascii="Arial" w:hAnsi="Arial" w:cs="Arial"/>
          <w:sz w:val="22"/>
          <w:szCs w:val="22"/>
        </w:rPr>
        <w:t>7</w:t>
      </w:r>
      <w:r w:rsidRPr="004E38E4">
        <w:rPr>
          <w:rFonts w:ascii="Arial" w:hAnsi="Arial" w:cs="Arial"/>
          <w:sz w:val="22"/>
          <w:szCs w:val="22"/>
        </w:rPr>
        <w:t xml:space="preserve"> novembre et le mercredi </w:t>
      </w:r>
      <w:r>
        <w:rPr>
          <w:rFonts w:ascii="Arial" w:hAnsi="Arial" w:cs="Arial"/>
          <w:sz w:val="22"/>
          <w:szCs w:val="22"/>
        </w:rPr>
        <w:t>4</w:t>
      </w:r>
      <w:r w:rsidRPr="004E38E4">
        <w:rPr>
          <w:rFonts w:ascii="Arial" w:hAnsi="Arial" w:cs="Arial"/>
          <w:sz w:val="22"/>
          <w:szCs w:val="22"/>
        </w:rPr>
        <w:t xml:space="preserve"> décembre 201</w:t>
      </w:r>
      <w:r>
        <w:rPr>
          <w:rFonts w:ascii="Arial" w:hAnsi="Arial" w:cs="Arial"/>
          <w:sz w:val="22"/>
          <w:szCs w:val="22"/>
        </w:rPr>
        <w:t>9</w:t>
      </w:r>
      <w:r w:rsidRPr="004E38E4">
        <w:rPr>
          <w:rFonts w:ascii="Arial" w:hAnsi="Arial" w:cs="Arial"/>
          <w:sz w:val="22"/>
          <w:szCs w:val="22"/>
        </w:rPr>
        <w:t>.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 xml:space="preserve">La convocation sera adressée, par courriel </w:t>
      </w:r>
      <w:r w:rsidRPr="004E38E4">
        <w:rPr>
          <w:rFonts w:ascii="Arial" w:hAnsi="Arial" w:cs="Arial"/>
          <w:b/>
          <w:sz w:val="22"/>
          <w:szCs w:val="22"/>
        </w:rPr>
        <w:t>sur la</w:t>
      </w:r>
      <w:r>
        <w:rPr>
          <w:rFonts w:ascii="Arial" w:hAnsi="Arial" w:cs="Arial"/>
          <w:b/>
          <w:sz w:val="22"/>
          <w:szCs w:val="22"/>
        </w:rPr>
        <w:t xml:space="preserve"> messagerie académique du candidat</w:t>
      </w:r>
      <w:r w:rsidRPr="004E38E4">
        <w:rPr>
          <w:rFonts w:ascii="Arial" w:hAnsi="Arial" w:cs="Arial"/>
          <w:b/>
          <w:sz w:val="22"/>
          <w:szCs w:val="22"/>
        </w:rPr>
        <w:t xml:space="preserve"> (</w:t>
      </w:r>
      <w:hyperlink r:id="rId6" w:history="1">
        <w:r w:rsidRPr="004E38E4">
          <w:rPr>
            <w:rStyle w:val="Lienhypertexte"/>
            <w:rFonts w:ascii="Arial" w:hAnsi="Arial" w:cs="Arial"/>
            <w:b/>
            <w:sz w:val="22"/>
            <w:szCs w:val="22"/>
          </w:rPr>
          <w:t>prénom.nom@ac-paris.fr</w:t>
        </w:r>
      </w:hyperlink>
      <w:r w:rsidRPr="004E38E4">
        <w:rPr>
          <w:rFonts w:ascii="Arial" w:hAnsi="Arial" w:cs="Arial"/>
          <w:b/>
          <w:sz w:val="22"/>
          <w:szCs w:val="22"/>
        </w:rPr>
        <w:t>)</w:t>
      </w:r>
      <w:r w:rsidRPr="004E3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copie à l’inspecteur</w:t>
      </w:r>
      <w:r w:rsidRPr="004E38E4">
        <w:rPr>
          <w:rFonts w:ascii="Arial" w:hAnsi="Arial" w:cs="Arial"/>
          <w:sz w:val="22"/>
          <w:szCs w:val="22"/>
        </w:rPr>
        <w:t xml:space="preserve"> de l’</w:t>
      </w:r>
      <w:r>
        <w:rPr>
          <w:rFonts w:ascii="Arial" w:hAnsi="Arial" w:cs="Arial"/>
          <w:sz w:val="22"/>
          <w:szCs w:val="22"/>
        </w:rPr>
        <w:t>é</w:t>
      </w:r>
      <w:r w:rsidRPr="004E38E4">
        <w:rPr>
          <w:rFonts w:ascii="Arial" w:hAnsi="Arial" w:cs="Arial"/>
          <w:sz w:val="22"/>
          <w:szCs w:val="22"/>
        </w:rPr>
        <w:t xml:space="preserve">ducation </w:t>
      </w:r>
      <w:r>
        <w:rPr>
          <w:rFonts w:ascii="Arial" w:hAnsi="Arial" w:cs="Arial"/>
          <w:sz w:val="22"/>
          <w:szCs w:val="22"/>
        </w:rPr>
        <w:t>n</w:t>
      </w:r>
      <w:r w:rsidRPr="004E38E4">
        <w:rPr>
          <w:rFonts w:ascii="Arial" w:hAnsi="Arial" w:cs="Arial"/>
          <w:sz w:val="22"/>
          <w:szCs w:val="22"/>
        </w:rPr>
        <w:t>ationale. Elle sera présentée accompagnée d’une pièce d’identité le jour de l’entretien.</w:t>
      </w:r>
    </w:p>
    <w:p w:rsidR="00C973F5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candidat</w:t>
      </w:r>
      <w:r w:rsidRPr="004E38E4">
        <w:rPr>
          <w:rFonts w:ascii="Arial" w:hAnsi="Arial" w:cs="Arial"/>
          <w:sz w:val="22"/>
          <w:szCs w:val="22"/>
        </w:rPr>
        <w:t xml:space="preserve"> ne recevait pas sa convocation au plus tard le 12 novembre 201</w:t>
      </w:r>
      <w:r>
        <w:rPr>
          <w:rFonts w:ascii="Arial" w:hAnsi="Arial" w:cs="Arial"/>
          <w:sz w:val="22"/>
          <w:szCs w:val="22"/>
        </w:rPr>
        <w:t>9, il</w:t>
      </w:r>
      <w:r w:rsidRPr="004E38E4">
        <w:rPr>
          <w:rFonts w:ascii="Arial" w:hAnsi="Arial" w:cs="Arial"/>
          <w:sz w:val="22"/>
          <w:szCs w:val="22"/>
        </w:rPr>
        <w:t xml:space="preserve"> lui faudrait prendre contact dès ce jour avec Lydie MARTORANA aux adresses suivantes : </w:t>
      </w:r>
      <w:hyperlink r:id="rId7" w:history="1">
        <w:r w:rsidRPr="004E38E4">
          <w:rPr>
            <w:rStyle w:val="Lienhypertexte"/>
            <w:rFonts w:ascii="Arial" w:hAnsi="Arial" w:cs="Arial"/>
            <w:sz w:val="22"/>
            <w:szCs w:val="22"/>
          </w:rPr>
          <w:t>ce.de@ac-paris.fr</w:t>
        </w:r>
      </w:hyperlink>
      <w:r w:rsidRPr="004E38E4">
        <w:rPr>
          <w:rFonts w:ascii="Arial" w:hAnsi="Arial" w:cs="Arial"/>
          <w:sz w:val="22"/>
          <w:szCs w:val="22"/>
        </w:rPr>
        <w:t xml:space="preserve"> et </w:t>
      </w:r>
      <w:hyperlink r:id="rId8" w:history="1">
        <w:r w:rsidRPr="004E38E4">
          <w:rPr>
            <w:rStyle w:val="Lienhypertexte"/>
            <w:rFonts w:ascii="Arial" w:hAnsi="Arial" w:cs="Arial"/>
            <w:sz w:val="22"/>
            <w:szCs w:val="22"/>
          </w:rPr>
          <w:t>Lydie.Martorana@ac-paris.fr</w:t>
        </w:r>
      </w:hyperlink>
      <w:r w:rsidRPr="004E38E4">
        <w:rPr>
          <w:rFonts w:ascii="Arial" w:hAnsi="Arial" w:cs="Arial"/>
          <w:sz w:val="22"/>
          <w:szCs w:val="22"/>
        </w:rPr>
        <w:t xml:space="preserve"> pour la recevoir.</w:t>
      </w: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pStyle w:val="Corpsdetexte"/>
        <w:shd w:val="clear" w:color="auto" w:fill="FFFFFF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  <w:u w:val="single"/>
        </w:rPr>
        <w:t xml:space="preserve">► Déroulement de l’entretien </w:t>
      </w: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L'appréciation portée par la commission se fon</w:t>
      </w:r>
      <w:r>
        <w:rPr>
          <w:rFonts w:ascii="Arial" w:hAnsi="Arial" w:cs="Arial"/>
          <w:sz w:val="22"/>
          <w:szCs w:val="22"/>
        </w:rPr>
        <w:t>dera sur la prestation du candidat</w:t>
      </w:r>
      <w:r w:rsidRPr="004E38E4">
        <w:rPr>
          <w:rFonts w:ascii="Arial" w:hAnsi="Arial" w:cs="Arial"/>
          <w:sz w:val="22"/>
          <w:szCs w:val="22"/>
        </w:rPr>
        <w:t xml:space="preserve"> pendant l’entretien et sur l'examen de son dossier, complété d’une lettre de motivation. </w:t>
      </w:r>
    </w:p>
    <w:p w:rsidR="00C973F5" w:rsidRPr="004E38E4" w:rsidRDefault="00C973F5" w:rsidP="00C973F5">
      <w:pPr>
        <w:shd w:val="clear" w:color="auto" w:fill="FFFFFF"/>
        <w:spacing w:line="240" w:lineRule="exact"/>
        <w:ind w:hanging="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hanging="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L’entretien, d’une durée totale de 30 minutes environ, comporte deux parties :</w:t>
      </w:r>
    </w:p>
    <w:p w:rsidR="00C973F5" w:rsidRPr="004E38E4" w:rsidRDefault="00C973F5" w:rsidP="00C973F5">
      <w:pPr>
        <w:shd w:val="clear" w:color="auto" w:fill="FFFFFF"/>
        <w:spacing w:line="240" w:lineRule="exact"/>
        <w:ind w:hanging="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10</w:t>
      </w:r>
      <w:r w:rsidRPr="004E38E4">
        <w:rPr>
          <w:rFonts w:ascii="Arial" w:hAnsi="Arial" w:cs="Arial"/>
          <w:sz w:val="22"/>
          <w:szCs w:val="22"/>
        </w:rPr>
        <w:t xml:space="preserve"> mi</w:t>
      </w:r>
      <w:r>
        <w:rPr>
          <w:rFonts w:ascii="Arial" w:hAnsi="Arial" w:cs="Arial"/>
          <w:sz w:val="22"/>
          <w:szCs w:val="22"/>
        </w:rPr>
        <w:t xml:space="preserve">nutes pendant lesquelles le </w:t>
      </w:r>
      <w:r w:rsidRPr="004E38E4">
        <w:rPr>
          <w:rFonts w:ascii="Arial" w:hAnsi="Arial" w:cs="Arial"/>
          <w:sz w:val="22"/>
          <w:szCs w:val="22"/>
        </w:rPr>
        <w:t>candidat tire au sort trois questions et y répond immédiatement. Ces questions porteront sur les trois domaines suivants :</w:t>
      </w: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responsabilités pédagogiques,</w:t>
      </w:r>
    </w:p>
    <w:p w:rsidR="00C973F5" w:rsidRDefault="00C973F5" w:rsidP="00C973F5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responsabilités relatives au fonctionnement de l’école,</w:t>
      </w:r>
    </w:p>
    <w:p w:rsidR="00C973F5" w:rsidRPr="004E38E4" w:rsidRDefault="00C973F5" w:rsidP="00C973F5">
      <w:pPr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relations avec les parents et les partenaires.</w:t>
      </w: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 xml:space="preserve">□ 20 minutes d’entretien, avec la commission, destiné à approfondir et élargir les sujets abordés. </w:t>
      </w: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A cette occasion, seront notamment constatées l’aptitude au dialogue, à l’écoute de l’interlocuteur, à la capacité à exposer et à argumenter.</w:t>
      </w: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  <w:u w:val="single"/>
        </w:rPr>
        <w:lastRenderedPageBreak/>
        <w:t>► Appréciation de la commission</w:t>
      </w: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La commission remplira</w:t>
      </w:r>
      <w:r>
        <w:rPr>
          <w:rFonts w:ascii="Arial" w:hAnsi="Arial" w:cs="Arial"/>
          <w:sz w:val="22"/>
          <w:szCs w:val="22"/>
        </w:rPr>
        <w:t>, pour chacun des candidats</w:t>
      </w:r>
      <w:r w:rsidRPr="004E38E4">
        <w:rPr>
          <w:rFonts w:ascii="Arial" w:hAnsi="Arial" w:cs="Arial"/>
          <w:sz w:val="22"/>
          <w:szCs w:val="22"/>
        </w:rPr>
        <w:t>, une fiche d’appréciation dûment motivée et signée par chacun de ses membres. Les questions tirées au sort</w:t>
      </w:r>
      <w:r>
        <w:rPr>
          <w:rFonts w:ascii="Arial" w:hAnsi="Arial" w:cs="Arial"/>
          <w:sz w:val="22"/>
          <w:szCs w:val="22"/>
        </w:rPr>
        <w:t>, signées par les candidats</w:t>
      </w:r>
      <w:r w:rsidRPr="004E38E4">
        <w:rPr>
          <w:rFonts w:ascii="Arial" w:hAnsi="Arial" w:cs="Arial"/>
          <w:sz w:val="22"/>
          <w:szCs w:val="22"/>
        </w:rPr>
        <w:t>, seront jointe</w:t>
      </w:r>
      <w:r>
        <w:rPr>
          <w:rFonts w:ascii="Arial" w:hAnsi="Arial" w:cs="Arial"/>
          <w:sz w:val="22"/>
          <w:szCs w:val="22"/>
        </w:rPr>
        <w:t>s au dossier. Les candidats</w:t>
      </w:r>
      <w:r w:rsidRPr="004E38E4">
        <w:rPr>
          <w:rFonts w:ascii="Arial" w:hAnsi="Arial" w:cs="Arial"/>
          <w:sz w:val="22"/>
          <w:szCs w:val="22"/>
        </w:rPr>
        <w:t xml:space="preserve"> recevront notification des décisions les concernant par courriel</w:t>
      </w:r>
      <w:r w:rsidRPr="004E38E4">
        <w:rPr>
          <w:rFonts w:ascii="Arial" w:hAnsi="Arial" w:cs="Arial"/>
          <w:b/>
          <w:sz w:val="22"/>
          <w:szCs w:val="22"/>
        </w:rPr>
        <w:t xml:space="preserve"> </w:t>
      </w:r>
      <w:r w:rsidRPr="004E38E4">
        <w:rPr>
          <w:rFonts w:ascii="Arial" w:hAnsi="Arial" w:cs="Arial"/>
          <w:sz w:val="22"/>
          <w:szCs w:val="22"/>
        </w:rPr>
        <w:t>sur leur messagerie académique et ce, après</w:t>
      </w:r>
      <w:r>
        <w:rPr>
          <w:rFonts w:ascii="Arial" w:hAnsi="Arial" w:cs="Arial"/>
          <w:sz w:val="22"/>
          <w:szCs w:val="22"/>
        </w:rPr>
        <w:t xml:space="preserve"> la tenue de la commission académique paritaire départementale </w:t>
      </w:r>
      <w:r w:rsidRPr="00924FCE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30 janvier 2020.</w:t>
      </w: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811B82" w:rsidRDefault="00C973F5" w:rsidP="00C973F5">
      <w:pPr>
        <w:shd w:val="clear" w:color="auto" w:fill="FFFFFF"/>
        <w:spacing w:line="240" w:lineRule="exact"/>
        <w:ind w:left="-2410"/>
        <w:jc w:val="both"/>
        <w:rPr>
          <w:rFonts w:ascii="Arial" w:hAnsi="Arial" w:cs="Arial"/>
          <w:color w:val="auto"/>
          <w:sz w:val="22"/>
          <w:szCs w:val="22"/>
        </w:rPr>
      </w:pPr>
    </w:p>
    <w:p w:rsidR="00C973F5" w:rsidRDefault="00C973F5" w:rsidP="00C973F5">
      <w:pPr>
        <w:shd w:val="clear" w:color="auto" w:fill="FFFFFF"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ANNEXE II 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u w:val="single"/>
        </w:rPr>
      </w:pP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Déroulement des commissions d’entretiens de direction d’école spécialisée ou d’école d’application.</w:t>
      </w:r>
    </w:p>
    <w:p w:rsidR="00C973F5" w:rsidRDefault="00C973F5" w:rsidP="00C973F5">
      <w:pPr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C973F5" w:rsidRPr="00424423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 w:rsidRPr="00424423">
        <w:rPr>
          <w:rFonts w:ascii="Arial" w:hAnsi="Arial" w:cs="Arial"/>
          <w:sz w:val="22"/>
          <w:szCs w:val="22"/>
          <w:u w:val="single"/>
        </w:rPr>
        <w:t xml:space="preserve">► Conditions 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9A1707">
        <w:rPr>
          <w:rFonts w:ascii="Arial" w:hAnsi="Arial" w:cs="Arial"/>
          <w:sz w:val="22"/>
          <w:szCs w:val="22"/>
        </w:rPr>
        <w:t xml:space="preserve"> 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9A1707">
        <w:rPr>
          <w:rFonts w:ascii="Arial" w:hAnsi="Arial" w:cs="Arial"/>
          <w:sz w:val="22"/>
          <w:szCs w:val="22"/>
        </w:rPr>
        <w:t>Peuvent solliciter leur inscription sur les listes d'aptitude les instituteurs et professeurs des écoles titulaires</w:t>
      </w:r>
      <w:r>
        <w:rPr>
          <w:rFonts w:ascii="Arial" w:hAnsi="Arial" w:cs="Arial"/>
          <w:sz w:val="22"/>
          <w:szCs w:val="22"/>
        </w:rPr>
        <w:t>, les directeurs d’école maternelle ou élémentaire,</w:t>
      </w:r>
      <w:r w:rsidRPr="009A1707">
        <w:rPr>
          <w:rFonts w:ascii="Arial" w:hAnsi="Arial" w:cs="Arial"/>
          <w:sz w:val="22"/>
          <w:szCs w:val="22"/>
        </w:rPr>
        <w:t xml:space="preserve"> remplissant les conditions suivantes</w:t>
      </w:r>
      <w:r>
        <w:rPr>
          <w:rFonts w:ascii="Arial" w:hAnsi="Arial" w:cs="Arial"/>
          <w:sz w:val="22"/>
          <w:szCs w:val="22"/>
        </w:rPr>
        <w:t> :</w:t>
      </w:r>
    </w:p>
    <w:p w:rsidR="00C973F5" w:rsidRPr="004B423C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2410"/>
        <w:gridCol w:w="2866"/>
      </w:tblGrid>
      <w:tr w:rsidR="00C973F5" w:rsidRPr="0097080B" w:rsidTr="00DF223C">
        <w:tc>
          <w:tcPr>
            <w:tcW w:w="283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973F5" w:rsidRPr="0097080B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080B">
              <w:rPr>
                <w:rFonts w:ascii="Arial" w:hAnsi="Arial" w:cs="Arial"/>
                <w:color w:val="0000FF"/>
                <w:sz w:val="22"/>
                <w:szCs w:val="22"/>
              </w:rPr>
              <w:t>Liste d’aptitude</w:t>
            </w:r>
          </w:p>
        </w:tc>
        <w:tc>
          <w:tcPr>
            <w:tcW w:w="1985" w:type="dxa"/>
            <w:shd w:val="clear" w:color="auto" w:fill="auto"/>
          </w:tcPr>
          <w:p w:rsidR="00C973F5" w:rsidRPr="00E568CE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973F5" w:rsidRPr="00E568CE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568CE">
              <w:rPr>
                <w:rFonts w:ascii="Arial" w:hAnsi="Arial" w:cs="Arial"/>
                <w:color w:val="0000FF"/>
                <w:sz w:val="22"/>
                <w:szCs w:val="22"/>
              </w:rPr>
              <w:t>Age minimum au 1</w:t>
            </w:r>
            <w:r w:rsidRPr="00E568CE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er</w:t>
            </w:r>
            <w:r w:rsidRPr="00E568CE">
              <w:rPr>
                <w:rFonts w:ascii="Arial" w:hAnsi="Arial" w:cs="Arial"/>
                <w:color w:val="0000FF"/>
                <w:sz w:val="22"/>
                <w:szCs w:val="22"/>
              </w:rPr>
              <w:t xml:space="preserve"> octobre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C973F5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080B">
              <w:rPr>
                <w:rFonts w:ascii="Arial" w:hAnsi="Arial" w:cs="Arial"/>
                <w:color w:val="0000FF"/>
                <w:sz w:val="22"/>
                <w:szCs w:val="22"/>
              </w:rPr>
              <w:t xml:space="preserve">Ancienneté de service au </w:t>
            </w:r>
            <w:r w:rsidRPr="00E568CE">
              <w:rPr>
                <w:rFonts w:ascii="Arial" w:hAnsi="Arial" w:cs="Arial"/>
                <w:color w:val="0000FF"/>
                <w:sz w:val="22"/>
                <w:szCs w:val="22"/>
              </w:rPr>
              <w:t>1</w:t>
            </w:r>
            <w:r w:rsidRPr="00E568CE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octobre 2019</w:t>
            </w:r>
          </w:p>
          <w:p w:rsidR="00C973F5" w:rsidRPr="0097080B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080B">
              <w:rPr>
                <w:rFonts w:ascii="Arial" w:hAnsi="Arial" w:cs="Arial"/>
                <w:color w:val="0000FF"/>
                <w:sz w:val="22"/>
                <w:szCs w:val="22"/>
              </w:rPr>
              <w:t>(à temps complet)</w:t>
            </w:r>
          </w:p>
        </w:tc>
        <w:tc>
          <w:tcPr>
            <w:tcW w:w="2866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C973F5" w:rsidRPr="0097080B" w:rsidRDefault="00C973F5" w:rsidP="00DF223C">
            <w:pPr>
              <w:spacing w:line="240" w:lineRule="exact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7080B">
              <w:rPr>
                <w:rFonts w:ascii="Arial" w:hAnsi="Arial" w:cs="Arial"/>
                <w:color w:val="0000FF"/>
                <w:sz w:val="22"/>
                <w:szCs w:val="22"/>
              </w:rPr>
              <w:t>Titres ou diplômes requis</w:t>
            </w:r>
          </w:p>
        </w:tc>
      </w:tr>
      <w:tr w:rsidR="00C973F5" w:rsidRPr="0097080B" w:rsidTr="00DF223C">
        <w:tc>
          <w:tcPr>
            <w:tcW w:w="283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7080B">
              <w:rPr>
                <w:rFonts w:ascii="Arial" w:hAnsi="Arial" w:cs="Arial"/>
                <w:color w:val="0000FF"/>
                <w:sz w:val="20"/>
                <w:szCs w:val="20"/>
              </w:rPr>
              <w:t>Enseignement spécialisé :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 xml:space="preserve">Ecoles comportant au moins trois classes spécialisées. 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410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Aucune condition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d’ancienneté requise</w:t>
            </w:r>
          </w:p>
        </w:tc>
        <w:tc>
          <w:tcPr>
            <w:tcW w:w="2866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Etre titulaire du diplôme de directeur d'établissement d'éducation adaptée et spécialisée DDEAS.</w:t>
            </w:r>
          </w:p>
        </w:tc>
      </w:tr>
      <w:tr w:rsidR="00C973F5" w:rsidRPr="0097080B" w:rsidTr="00DF223C">
        <w:tc>
          <w:tcPr>
            <w:tcW w:w="283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7080B">
              <w:rPr>
                <w:rFonts w:ascii="Arial" w:hAnsi="Arial" w:cs="Arial"/>
                <w:color w:val="0000FF"/>
                <w:sz w:val="20"/>
                <w:szCs w:val="20"/>
              </w:rPr>
              <w:t>Enseignement spécialisé :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Ecoles comportant au moins trois classes spécialisées.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410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8 ans d’ancienneté en qualité d’enseignant  dont 5 ans dans l’enseignement spécialisé</w:t>
            </w:r>
          </w:p>
        </w:tc>
        <w:tc>
          <w:tcPr>
            <w:tcW w:w="2866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Non titulaire du DDEAS :</w:t>
            </w: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mais être titulaire du CAPA-SH.</w:t>
            </w:r>
          </w:p>
        </w:tc>
      </w:tr>
      <w:tr w:rsidR="00C973F5" w:rsidRPr="0097080B" w:rsidTr="00DF223C">
        <w:tc>
          <w:tcPr>
            <w:tcW w:w="283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right="202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7080B">
              <w:rPr>
                <w:rFonts w:ascii="Arial" w:hAnsi="Arial" w:cs="Arial"/>
                <w:color w:val="0000FF"/>
                <w:sz w:val="20"/>
                <w:szCs w:val="20"/>
              </w:rPr>
              <w:t>Ecole d'application :</w:t>
            </w:r>
          </w:p>
          <w:p w:rsidR="00C973F5" w:rsidRPr="0097080B" w:rsidRDefault="00C973F5" w:rsidP="00DF223C">
            <w:pPr>
              <w:spacing w:line="240" w:lineRule="exact"/>
              <w:ind w:right="20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080B">
              <w:rPr>
                <w:rFonts w:ascii="Arial" w:hAnsi="Arial" w:cs="Arial"/>
                <w:i/>
                <w:color w:val="auto"/>
                <w:sz w:val="20"/>
                <w:szCs w:val="20"/>
              </w:rPr>
              <w:t>Ecoles d’application</w:t>
            </w:r>
            <w:r w:rsidRPr="0097080B">
              <w:rPr>
                <w:rFonts w:ascii="Arial" w:hAnsi="Arial" w:cs="Arial"/>
                <w:color w:val="auto"/>
                <w:sz w:val="20"/>
                <w:szCs w:val="20"/>
              </w:rPr>
              <w:t xml:space="preserve"> : moins de 4 classes </w:t>
            </w:r>
          </w:p>
          <w:p w:rsidR="00C973F5" w:rsidRPr="0097080B" w:rsidRDefault="00C973F5" w:rsidP="00DF223C">
            <w:pPr>
              <w:spacing w:line="240" w:lineRule="exact"/>
              <w:ind w:right="20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080B">
              <w:rPr>
                <w:rFonts w:ascii="Arial" w:hAnsi="Arial" w:cs="Arial"/>
                <w:i/>
                <w:color w:val="auto"/>
                <w:sz w:val="20"/>
                <w:szCs w:val="20"/>
              </w:rPr>
              <w:t>Autres écoles</w:t>
            </w:r>
            <w:r w:rsidRPr="0097080B"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  <w:p w:rsidR="00C973F5" w:rsidRPr="0097080B" w:rsidRDefault="00C973F5" w:rsidP="00DF223C">
            <w:pPr>
              <w:spacing w:line="240" w:lineRule="exact"/>
              <w:ind w:right="20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080B">
              <w:rPr>
                <w:rFonts w:ascii="Arial" w:hAnsi="Arial" w:cs="Arial"/>
                <w:color w:val="auto"/>
                <w:sz w:val="20"/>
                <w:szCs w:val="20"/>
              </w:rPr>
              <w:t xml:space="preserve"> au moins 3 classes d’application</w:t>
            </w:r>
          </w:p>
        </w:tc>
        <w:tc>
          <w:tcPr>
            <w:tcW w:w="1985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30 ans</w:t>
            </w:r>
          </w:p>
        </w:tc>
        <w:tc>
          <w:tcPr>
            <w:tcW w:w="2410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8 ans d’ancienneté</w:t>
            </w:r>
          </w:p>
        </w:tc>
        <w:tc>
          <w:tcPr>
            <w:tcW w:w="2866" w:type="dxa"/>
            <w:shd w:val="clear" w:color="auto" w:fill="auto"/>
          </w:tcPr>
          <w:p w:rsidR="00C973F5" w:rsidRPr="0097080B" w:rsidRDefault="00C973F5" w:rsidP="00DF223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80B">
              <w:rPr>
                <w:rFonts w:ascii="Arial" w:hAnsi="Arial" w:cs="Arial"/>
                <w:sz w:val="20"/>
                <w:szCs w:val="20"/>
              </w:rPr>
              <w:t>être titulaire du C.A.F.I.P.E.M.F.  (anciennement C.A.F.I.M.F.), avec ou sans spécialité</w:t>
            </w:r>
          </w:p>
        </w:tc>
      </w:tr>
    </w:tbl>
    <w:p w:rsidR="00C973F5" w:rsidRPr="009A1707" w:rsidRDefault="00C973F5" w:rsidP="00C973F5">
      <w:pPr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C973F5" w:rsidRDefault="00C973F5" w:rsidP="00C973F5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► Dépôt des candidatures : mêmes conditions que celles figurant sur l’annexe I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Cependant,</w:t>
      </w:r>
      <w:r w:rsidRPr="009A1707">
        <w:rPr>
          <w:rFonts w:ascii="Arial" w:hAnsi="Arial" w:cs="Arial"/>
          <w:sz w:val="22"/>
          <w:szCs w:val="22"/>
        </w:rPr>
        <w:t xml:space="preserve"> les enseignants formuler</w:t>
      </w:r>
      <w:r>
        <w:rPr>
          <w:rFonts w:ascii="Arial" w:hAnsi="Arial" w:cs="Arial"/>
          <w:sz w:val="22"/>
          <w:szCs w:val="22"/>
        </w:rPr>
        <w:t xml:space="preserve">ont leur </w:t>
      </w:r>
      <w:r w:rsidRPr="009A1707">
        <w:rPr>
          <w:rFonts w:ascii="Arial" w:hAnsi="Arial" w:cs="Arial"/>
          <w:sz w:val="22"/>
          <w:szCs w:val="22"/>
        </w:rPr>
        <w:t xml:space="preserve">demande </w:t>
      </w:r>
      <w:r>
        <w:rPr>
          <w:rFonts w:ascii="Arial" w:hAnsi="Arial" w:cs="Arial"/>
          <w:sz w:val="22"/>
          <w:szCs w:val="22"/>
        </w:rPr>
        <w:t>sur des dossiers de couleur :</w:t>
      </w:r>
    </w:p>
    <w:p w:rsidR="00C973F5" w:rsidRDefault="00C973F5" w:rsidP="00C973F5">
      <w:pPr>
        <w:tabs>
          <w:tab w:val="left" w:pos="567"/>
        </w:tabs>
        <w:spacing w:line="240" w:lineRule="exact"/>
        <w:ind w:hanging="2410"/>
        <w:jc w:val="both"/>
        <w:rPr>
          <w:rFonts w:ascii="Arial" w:hAnsi="Arial" w:cs="Arial"/>
          <w:sz w:val="22"/>
          <w:szCs w:val="22"/>
        </w:rPr>
      </w:pPr>
      <w:r w:rsidRPr="00FE2EC7">
        <w:rPr>
          <w:rFonts w:ascii="Arial" w:hAnsi="Arial" w:cs="Arial"/>
          <w:b/>
          <w:sz w:val="22"/>
          <w:szCs w:val="22"/>
        </w:rPr>
        <w:t>- Jaune,</w:t>
      </w:r>
      <w:r w:rsidRPr="009A1707">
        <w:rPr>
          <w:rFonts w:ascii="Arial" w:hAnsi="Arial" w:cs="Arial"/>
          <w:sz w:val="22"/>
          <w:szCs w:val="22"/>
        </w:rPr>
        <w:t xml:space="preserve"> pour la liste d’aptitude à la direction d’é</w:t>
      </w:r>
      <w:r>
        <w:rPr>
          <w:rFonts w:ascii="Arial" w:hAnsi="Arial" w:cs="Arial"/>
          <w:sz w:val="22"/>
          <w:szCs w:val="22"/>
        </w:rPr>
        <w:t>cole</w:t>
      </w:r>
      <w:r w:rsidRPr="009A1707">
        <w:rPr>
          <w:rFonts w:ascii="Arial" w:hAnsi="Arial" w:cs="Arial"/>
          <w:sz w:val="22"/>
          <w:szCs w:val="22"/>
        </w:rPr>
        <w:t xml:space="preserve"> spécialisé</w:t>
      </w:r>
      <w:r>
        <w:rPr>
          <w:rFonts w:ascii="Arial" w:hAnsi="Arial" w:cs="Arial"/>
          <w:sz w:val="22"/>
          <w:szCs w:val="22"/>
        </w:rPr>
        <w:t>e</w:t>
      </w:r>
    </w:p>
    <w:p w:rsidR="00C973F5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Rose</w:t>
      </w:r>
      <w:r w:rsidRPr="00FE2EC7">
        <w:rPr>
          <w:rFonts w:ascii="Arial" w:hAnsi="Arial" w:cs="Arial"/>
          <w:b/>
          <w:sz w:val="22"/>
          <w:szCs w:val="22"/>
        </w:rPr>
        <w:t>,</w:t>
      </w:r>
      <w:r w:rsidRPr="00FE2EC7">
        <w:rPr>
          <w:rFonts w:ascii="Arial" w:hAnsi="Arial" w:cs="Arial"/>
          <w:sz w:val="22"/>
          <w:szCs w:val="22"/>
        </w:rPr>
        <w:t xml:space="preserve"> pour</w:t>
      </w:r>
      <w:r w:rsidRPr="009A1707">
        <w:rPr>
          <w:rFonts w:ascii="Arial" w:hAnsi="Arial" w:cs="Arial"/>
          <w:sz w:val="22"/>
          <w:szCs w:val="22"/>
        </w:rPr>
        <w:t xml:space="preserve"> la liste d’aptitude à la direction d’école d’application</w:t>
      </w:r>
    </w:p>
    <w:p w:rsidR="00C973F5" w:rsidRDefault="00C973F5" w:rsidP="00C973F5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</w:p>
    <w:p w:rsidR="00C973F5" w:rsidRPr="00891EFE" w:rsidRDefault="00C973F5" w:rsidP="00C973F5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hanging="241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► </w:t>
      </w:r>
      <w:r w:rsidRPr="00891EFE">
        <w:rPr>
          <w:rFonts w:ascii="Arial" w:hAnsi="Arial" w:cs="Arial"/>
          <w:sz w:val="22"/>
          <w:szCs w:val="22"/>
          <w:u w:val="single"/>
        </w:rPr>
        <w:t xml:space="preserve">Convocation aux entretiens : mêmes conditions </w:t>
      </w:r>
      <w:r>
        <w:rPr>
          <w:rFonts w:ascii="Arial" w:hAnsi="Arial" w:cs="Arial"/>
          <w:sz w:val="22"/>
          <w:szCs w:val="22"/>
          <w:u w:val="single"/>
        </w:rPr>
        <w:t>que celles figurant sur l’annexe I</w:t>
      </w:r>
    </w:p>
    <w:p w:rsidR="00C973F5" w:rsidRDefault="00C973F5" w:rsidP="00C973F5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 w:rsidRPr="004E38E4">
        <w:rPr>
          <w:rFonts w:ascii="Arial" w:hAnsi="Arial" w:cs="Arial"/>
          <w:sz w:val="22"/>
          <w:szCs w:val="22"/>
          <w:u w:val="single"/>
        </w:rPr>
        <w:t>► Déroulement de l’entretien</w:t>
      </w:r>
    </w:p>
    <w:p w:rsidR="00C973F5" w:rsidRPr="004E38E4" w:rsidRDefault="00C973F5" w:rsidP="00C973F5">
      <w:pPr>
        <w:spacing w:line="240" w:lineRule="exact"/>
        <w:ind w:hanging="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L’entretien, d’une durée totale de 30 minutes environ, est précédé de la préparation (30 minutes) du sujet tiré au sort par le candidat.</w:t>
      </w:r>
    </w:p>
    <w:p w:rsidR="00C973F5" w:rsidRPr="004E38E4" w:rsidRDefault="00C973F5" w:rsidP="00C973F5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>□ 30 minutes d’ent</w:t>
      </w:r>
      <w:r>
        <w:rPr>
          <w:rFonts w:ascii="Arial" w:hAnsi="Arial" w:cs="Arial"/>
          <w:sz w:val="22"/>
          <w:szCs w:val="22"/>
        </w:rPr>
        <w:t>retien pendant lesquelles le candidat</w:t>
      </w:r>
      <w:r w:rsidRPr="004E38E4">
        <w:rPr>
          <w:rFonts w:ascii="Arial" w:hAnsi="Arial" w:cs="Arial"/>
          <w:sz w:val="22"/>
          <w:szCs w:val="22"/>
        </w:rPr>
        <w:t xml:space="preserve"> s’exprimera sur le sujet. A cette occasion, seront notamment constatées les aptitudes au dialogue, à l’écoute de l’interlocuteur, à la capacité à exposer et à argumenter.</w:t>
      </w:r>
    </w:p>
    <w:p w:rsidR="00C973F5" w:rsidRPr="004E38E4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4E38E4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  <w:u w:val="single"/>
        </w:rPr>
      </w:pPr>
      <w:r w:rsidRPr="004E38E4">
        <w:rPr>
          <w:rFonts w:ascii="Arial" w:hAnsi="Arial" w:cs="Arial"/>
          <w:sz w:val="22"/>
          <w:szCs w:val="22"/>
          <w:u w:val="single"/>
        </w:rPr>
        <w:t>► Appréciation de la commission</w:t>
      </w:r>
    </w:p>
    <w:p w:rsidR="00C973F5" w:rsidRPr="004E38E4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</w:p>
    <w:p w:rsidR="00C973F5" w:rsidRPr="00BD7458" w:rsidRDefault="00C973F5" w:rsidP="00C973F5">
      <w:pPr>
        <w:spacing w:line="240" w:lineRule="exact"/>
        <w:ind w:left="-2410"/>
        <w:jc w:val="both"/>
        <w:rPr>
          <w:rFonts w:ascii="Arial" w:hAnsi="Arial" w:cs="Arial"/>
          <w:sz w:val="22"/>
          <w:szCs w:val="22"/>
        </w:rPr>
      </w:pPr>
      <w:r w:rsidRPr="004E38E4">
        <w:rPr>
          <w:rFonts w:ascii="Arial" w:hAnsi="Arial" w:cs="Arial"/>
          <w:sz w:val="22"/>
          <w:szCs w:val="22"/>
        </w:rPr>
        <w:t xml:space="preserve">La commission </w:t>
      </w:r>
      <w:r>
        <w:rPr>
          <w:rFonts w:ascii="Arial" w:hAnsi="Arial" w:cs="Arial"/>
          <w:sz w:val="22"/>
          <w:szCs w:val="22"/>
        </w:rPr>
        <w:t>complètera, pour chacun des candidats</w:t>
      </w:r>
      <w:r w:rsidRPr="004E38E4">
        <w:rPr>
          <w:rFonts w:ascii="Arial" w:hAnsi="Arial" w:cs="Arial"/>
          <w:sz w:val="22"/>
          <w:szCs w:val="22"/>
        </w:rPr>
        <w:t>, une fiche d’appréciation signée par chacun de ses membres. Le sujet tiré au so</w:t>
      </w:r>
      <w:r>
        <w:rPr>
          <w:rFonts w:ascii="Arial" w:hAnsi="Arial" w:cs="Arial"/>
          <w:sz w:val="22"/>
          <w:szCs w:val="22"/>
        </w:rPr>
        <w:t>rt, signé par le candidat</w:t>
      </w:r>
      <w:r w:rsidRPr="004E38E4">
        <w:rPr>
          <w:rFonts w:ascii="Arial" w:hAnsi="Arial" w:cs="Arial"/>
          <w:sz w:val="22"/>
          <w:szCs w:val="22"/>
        </w:rPr>
        <w:t>, sera join</w:t>
      </w:r>
      <w:r>
        <w:rPr>
          <w:rFonts w:ascii="Arial" w:hAnsi="Arial" w:cs="Arial"/>
          <w:sz w:val="22"/>
          <w:szCs w:val="22"/>
        </w:rPr>
        <w:t>t au dossier. Les candidats</w:t>
      </w:r>
      <w:r w:rsidRPr="004E38E4">
        <w:rPr>
          <w:rFonts w:ascii="Arial" w:hAnsi="Arial" w:cs="Arial"/>
          <w:sz w:val="22"/>
          <w:szCs w:val="22"/>
        </w:rPr>
        <w:t xml:space="preserve"> recevront notification des décisions les concernant.</w:t>
      </w:r>
      <w:r w:rsidRPr="004E38E4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5930265</wp:posOffset>
                </wp:positionV>
                <wp:extent cx="228600" cy="342900"/>
                <wp:effectExtent l="0" t="0" r="254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3F5" w:rsidRPr="00AC7E06" w:rsidRDefault="00C973F5" w:rsidP="00C973F5">
                            <w:pPr>
                              <w:pStyle w:val="Paragraphestandard"/>
                              <w:rPr>
                                <w:rFonts w:ascii="Lucida Grande" w:hAnsi="Zapf Dingbats" w:hint="eastAsia"/>
                                <w:color w:val="032375"/>
                              </w:rPr>
                            </w:pPr>
                          </w:p>
                          <w:p w:rsidR="00C973F5" w:rsidRDefault="00C973F5" w:rsidP="00C973F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eastAsia="fr-FR" w:bidi="x-none"/>
                              </w:rPr>
                            </w:pPr>
                          </w:p>
                          <w:p w:rsidR="00C973F5" w:rsidRDefault="00C973F5" w:rsidP="00C973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83.05pt;margin-top:466.95pt;width:18pt;height:27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" filled="f" stroked="f">
                <v:path arrowok="t"/>
                <v:textbox inset="0,0,0,0">
                  <w:txbxContent>
                    <w:p w:rsidR="00C973F5" w:rsidRPr="00AC7E06" w:rsidRDefault="00C973F5" w:rsidP="00C973F5">
                      <w:pPr>
                        <w:pStyle w:val="Paragraphestandard"/>
                        <w:rPr>
                          <w:rFonts w:ascii="Lucida Grande" w:hAnsi="Zapf Dingbats"/>
                          <w:color w:val="032375"/>
                        </w:rPr>
                      </w:pPr>
                    </w:p>
                    <w:p w:rsidR="00C973F5" w:rsidRDefault="00C973F5" w:rsidP="00C973F5">
                      <w:pPr>
                        <w:rPr>
                          <w:rFonts w:eastAsia="Times New Roman"/>
                          <w:color w:val="auto"/>
                          <w:sz w:val="20"/>
                          <w:lang w:val="fr-FR" w:eastAsia="fr-FR" w:bidi="x-none"/>
                        </w:rPr>
                      </w:pPr>
                    </w:p>
                    <w:p w:rsidR="00C973F5" w:rsidRDefault="00C973F5" w:rsidP="00C973F5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Arial" w:hAnsi="Arial"/>
          <w:sz w:val="20"/>
        </w:rPr>
        <w:tab/>
      </w:r>
    </w:p>
    <w:p w:rsidR="00122256" w:rsidRDefault="00122256"/>
    <w:sectPr w:rsidR="00122256" w:rsidSect="00C973F5">
      <w:pgSz w:w="11906" w:h="16838"/>
      <w:pgMar w:top="720" w:right="720" w:bottom="72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F73"/>
    <w:multiLevelType w:val="hybridMultilevel"/>
    <w:tmpl w:val="EE62AF5E"/>
    <w:lvl w:ilvl="0" w:tplc="E07EEBBA">
      <w:numFmt w:val="bullet"/>
      <w:lvlText w:val="-"/>
      <w:lvlJc w:val="left"/>
      <w:pPr>
        <w:ind w:left="-205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5"/>
    <w:rsid w:val="00122256"/>
    <w:rsid w:val="00C973F5"/>
    <w:rsid w:val="00D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73F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973F5"/>
    <w:pPr>
      <w:spacing w:after="120"/>
    </w:pPr>
    <w:rPr>
      <w:rFonts w:eastAsia="Times New Roman"/>
      <w:color w:val="auto"/>
      <w:sz w:val="20"/>
      <w:szCs w:val="20"/>
      <w:lang w:eastAsia="fr-FR" w:bidi="he-IL"/>
    </w:rPr>
  </w:style>
  <w:style w:type="character" w:customStyle="1" w:styleId="CorpsdetexteCar">
    <w:name w:val="Corps de texte Car"/>
    <w:basedOn w:val="Policepardfaut"/>
    <w:link w:val="Corpsdetexte"/>
    <w:rsid w:val="00C973F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Paragraphestandard">
    <w:name w:val="[Paragraphe standard]"/>
    <w:rsid w:val="00C973F5"/>
    <w:pPr>
      <w:widowControl w:val="0"/>
      <w:spacing w:after="0" w:line="288" w:lineRule="auto"/>
    </w:pPr>
    <w:rPr>
      <w:rFonts w:ascii="Times" w:eastAsia="ヒラギノ角ゴ Pro W3" w:hAnsi="Times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F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73F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973F5"/>
    <w:pPr>
      <w:spacing w:after="120"/>
    </w:pPr>
    <w:rPr>
      <w:rFonts w:eastAsia="Times New Roman"/>
      <w:color w:val="auto"/>
      <w:sz w:val="20"/>
      <w:szCs w:val="20"/>
      <w:lang w:eastAsia="fr-FR" w:bidi="he-IL"/>
    </w:rPr>
  </w:style>
  <w:style w:type="character" w:customStyle="1" w:styleId="CorpsdetexteCar">
    <w:name w:val="Corps de texte Car"/>
    <w:basedOn w:val="Policepardfaut"/>
    <w:link w:val="Corpsdetexte"/>
    <w:rsid w:val="00C973F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Paragraphestandard">
    <w:name w:val="[Paragraphe standard]"/>
    <w:rsid w:val="00C973F5"/>
    <w:pPr>
      <w:widowControl w:val="0"/>
      <w:spacing w:after="0" w:line="288" w:lineRule="auto"/>
    </w:pPr>
    <w:rPr>
      <w:rFonts w:ascii="Times" w:eastAsia="ヒラギノ角ゴ Pro W3" w:hAnsi="Times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&#233;nom.nom@ac-paris.fr" TargetMode="External"/><Relationship Id="rId7" Type="http://schemas.openxmlformats.org/officeDocument/2006/relationships/hyperlink" Target="mailto:ce.de@ac-paris.fr" TargetMode="External"/><Relationship Id="rId8" Type="http://schemas.openxmlformats.org/officeDocument/2006/relationships/hyperlink" Target="mailto:Lydie.Martorana@ac-pari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Martorana Lydie</dc:creator>
  <cp:keywords/>
  <dc:description/>
  <cp:lastModifiedBy>s</cp:lastModifiedBy>
  <cp:revision>2</cp:revision>
  <dcterms:created xsi:type="dcterms:W3CDTF">2019-10-03T08:38:00Z</dcterms:created>
  <dcterms:modified xsi:type="dcterms:W3CDTF">2019-10-03T08:38:00Z</dcterms:modified>
</cp:coreProperties>
</file>