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432" w:after="120"/>
        <w:rPr>
          <w:rFonts w:ascii="Arial" w:hAnsi="Arial" w:eastAsia="Times New Roman" w:cs="Arial"/>
          <w:b/>
          <w:b/>
          <w:bCs/>
          <w:color w:val="16808D"/>
          <w:sz w:val="20"/>
          <w:szCs w:val="20"/>
          <w:lang w:eastAsia="fr-FR"/>
        </w:rPr>
      </w:pPr>
      <w:bookmarkStart w:id="0" w:name="_GoBack"/>
      <w:bookmarkEnd w:id="0"/>
      <w:r>
        <w:rPr>
          <w:rFonts w:eastAsia="Times New Roman" w:cs="Arial" w:ascii="Arial" w:hAnsi="Arial"/>
          <w:b/>
          <w:bCs/>
          <w:color w:val="16808D"/>
          <w:sz w:val="20"/>
          <w:szCs w:val="20"/>
          <w:lang w:eastAsia="fr-FR"/>
        </w:rPr>
        <w:t>Annexe 1</w:t>
      </w:r>
    </w:p>
    <w:p>
      <w:pPr>
        <w:pStyle w:val="Normal"/>
        <w:shd w:val="clear" w:color="auto" w:fill="FFFFFF"/>
        <w:spacing w:lineRule="auto" w:line="240" w:before="432" w:after="120"/>
        <w:rPr>
          <w:rFonts w:ascii="Arial" w:hAnsi="Arial" w:eastAsia="Times New Roman" w:cs="Arial"/>
          <w:b/>
          <w:b/>
          <w:bCs/>
          <w:color w:val="16808D"/>
          <w:sz w:val="20"/>
          <w:szCs w:val="20"/>
          <w:lang w:eastAsia="fr-FR"/>
        </w:rPr>
      </w:pPr>
      <w:r>
        <w:rPr>
          <w:rFonts w:eastAsia="Times New Roman" w:cs="Arial" w:ascii="Arial" w:hAnsi="Arial"/>
          <w:b/>
          <w:bCs/>
          <w:color w:val="16808D"/>
          <w:sz w:val="20"/>
          <w:szCs w:val="20"/>
          <w:lang w:eastAsia="fr-FR"/>
        </w:rPr>
        <w:t>Valorisation des critères servant à l'établissement du tableau d'avancement</w:t>
      </w:r>
    </w:p>
    <w:p>
      <w:pPr>
        <w:pStyle w:val="Normal"/>
        <w:shd w:val="clear" w:color="auto" w:fill="FFFFFF"/>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Afin de vous aider à établir votre tableau d'avancement, un barème vous permet de prendre en compte les différents critères d'appréciation indiqués dans la présente note de service. Les points liés à la valeur professionnelle et les points liés à l'ancienneté dans la plage d'appel s'additionnent.</w:t>
      </w:r>
    </w:p>
    <w:p>
      <w:pPr>
        <w:pStyle w:val="Normal"/>
        <w:shd w:val="clear" w:color="auto" w:fill="FFFFFF"/>
        <w:spacing w:lineRule="auto" w:line="240" w:before="432" w:after="120"/>
        <w:rPr>
          <w:rFonts w:ascii="Arial" w:hAnsi="Arial" w:eastAsia="Times New Roman" w:cs="Arial"/>
          <w:b/>
          <w:b/>
          <w:bCs/>
          <w:color w:val="16808D"/>
          <w:sz w:val="20"/>
          <w:szCs w:val="20"/>
          <w:lang w:eastAsia="fr-FR"/>
        </w:rPr>
      </w:pPr>
      <w:r>
        <w:rPr>
          <w:rFonts w:eastAsia="Times New Roman" w:cs="Arial" w:ascii="Arial" w:hAnsi="Arial"/>
          <w:b/>
          <w:bCs/>
          <w:color w:val="16808D"/>
          <w:sz w:val="20"/>
          <w:szCs w:val="20"/>
          <w:lang w:eastAsia="fr-FR"/>
        </w:rPr>
        <w:t>Valeur professionnelle</w:t>
      </w:r>
    </w:p>
    <w:p>
      <w:pPr>
        <w:pStyle w:val="Normal"/>
        <w:shd w:val="clear" w:color="auto" w:fill="FFFFFF"/>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L'appréciation portée par l'IA-Dasen  sur la valeur professionnelle de l'agent se traduit par l'attribution d'une bonification.</w:t>
      </w:r>
    </w:p>
    <w:p>
      <w:pPr>
        <w:pStyle w:val="Normal"/>
        <w:shd w:val="clear" w:color="auto" w:fill="FFFFFF"/>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 </w:t>
      </w:r>
    </w:p>
    <w:tbl>
      <w:tblPr>
        <w:tblW w:w="5000" w:type="pct"/>
        <w:jc w:val="left"/>
        <w:tblInd w:w="6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30" w:type="dxa"/>
          <w:left w:w="52" w:type="dxa"/>
          <w:bottom w:w="30" w:type="dxa"/>
          <w:right w:w="60" w:type="dxa"/>
        </w:tblCellMar>
        <w:tblLook w:noVBand="1" w:val="04a0" w:noHBand="0" w:lastColumn="0" w:firstColumn="1" w:lastRow="0" w:firstRow="1"/>
      </w:tblPr>
      <w:tblGrid>
        <w:gridCol w:w="5955"/>
        <w:gridCol w:w="3116"/>
      </w:tblGrid>
      <w:tr>
        <w:trPr/>
        <w:tc>
          <w:tcPr>
            <w:tcW w:w="595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jc w:val="center"/>
              <w:rPr>
                <w:rFonts w:ascii="Arial" w:hAnsi="Arial" w:eastAsia="Times New Roman" w:cs="Arial"/>
                <w:color w:val="AD1C72"/>
                <w:sz w:val="18"/>
                <w:szCs w:val="18"/>
                <w:lang w:eastAsia="fr-FR"/>
              </w:rPr>
            </w:pPr>
            <w:r>
              <w:rPr>
                <w:rFonts w:eastAsia="Times New Roman" w:cs="Arial" w:ascii="Arial" w:hAnsi="Arial"/>
                <w:color w:val="AD1C72"/>
                <w:sz w:val="18"/>
                <w:szCs w:val="18"/>
                <w:lang w:eastAsia="fr-FR"/>
              </w:rPr>
              <w:t>Appréciations</w:t>
            </w:r>
          </w:p>
        </w:tc>
        <w:tc>
          <w:tcPr>
            <w:tcW w:w="311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jc w:val="center"/>
              <w:rPr>
                <w:rFonts w:ascii="Arial" w:hAnsi="Arial" w:eastAsia="Times New Roman" w:cs="Arial"/>
                <w:color w:val="AD1C72"/>
                <w:sz w:val="18"/>
                <w:szCs w:val="18"/>
                <w:lang w:eastAsia="fr-FR"/>
              </w:rPr>
            </w:pPr>
            <w:r>
              <w:rPr>
                <w:rFonts w:eastAsia="Times New Roman" w:cs="Arial" w:ascii="Arial" w:hAnsi="Arial"/>
                <w:color w:val="AD1C72"/>
                <w:sz w:val="18"/>
                <w:szCs w:val="18"/>
                <w:lang w:eastAsia="fr-FR"/>
              </w:rPr>
              <w:t>Points</w:t>
            </w:r>
          </w:p>
        </w:tc>
      </w:tr>
      <w:tr>
        <w:trPr/>
        <w:tc>
          <w:tcPr>
            <w:tcW w:w="595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Excellent</w:t>
            </w:r>
          </w:p>
        </w:tc>
        <w:tc>
          <w:tcPr>
            <w:tcW w:w="311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bottom"/>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120</w:t>
            </w:r>
          </w:p>
        </w:tc>
      </w:tr>
      <w:tr>
        <w:trPr/>
        <w:tc>
          <w:tcPr>
            <w:tcW w:w="595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Très satisfaisant</w:t>
            </w:r>
          </w:p>
        </w:tc>
        <w:tc>
          <w:tcPr>
            <w:tcW w:w="311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bottom"/>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100</w:t>
            </w:r>
          </w:p>
        </w:tc>
      </w:tr>
      <w:tr>
        <w:trPr/>
        <w:tc>
          <w:tcPr>
            <w:tcW w:w="595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Satisfaisant</w:t>
            </w:r>
          </w:p>
        </w:tc>
        <w:tc>
          <w:tcPr>
            <w:tcW w:w="311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bottom"/>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80</w:t>
            </w:r>
          </w:p>
        </w:tc>
      </w:tr>
      <w:tr>
        <w:trPr/>
        <w:tc>
          <w:tcPr>
            <w:tcW w:w="595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À consolider</w:t>
            </w:r>
          </w:p>
        </w:tc>
        <w:tc>
          <w:tcPr>
            <w:tcW w:w="311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bottom"/>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60</w:t>
            </w:r>
          </w:p>
        </w:tc>
      </w:tr>
    </w:tbl>
    <w:p>
      <w:pPr>
        <w:pStyle w:val="Normal"/>
        <w:shd w:val="clear" w:color="auto" w:fill="FFFFFF"/>
        <w:spacing w:lineRule="auto" w:line="240" w:before="432" w:after="120"/>
        <w:rPr>
          <w:rFonts w:ascii="Arial" w:hAnsi="Arial" w:eastAsia="Times New Roman" w:cs="Arial"/>
          <w:b/>
          <w:b/>
          <w:bCs/>
          <w:color w:val="16808D"/>
          <w:sz w:val="20"/>
          <w:szCs w:val="20"/>
          <w:lang w:eastAsia="fr-FR"/>
        </w:rPr>
      </w:pPr>
      <w:r>
        <w:rPr>
          <w:rFonts w:eastAsia="Times New Roman" w:cs="Arial" w:ascii="Arial" w:hAnsi="Arial"/>
          <w:b/>
          <w:bCs/>
          <w:color w:val="16808D"/>
          <w:sz w:val="20"/>
          <w:szCs w:val="20"/>
          <w:lang w:eastAsia="fr-FR"/>
        </w:rPr>
        <w:t>Ancienneté dans la plage d'appel</w:t>
      </w:r>
    </w:p>
    <w:p>
      <w:pPr>
        <w:pStyle w:val="Normal"/>
        <w:shd w:val="clear" w:color="auto" w:fill="FFFFFF"/>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La position dans la plage d'appel est valorisée par des points d'ancienneté.</w:t>
      </w:r>
    </w:p>
    <w:p>
      <w:pPr>
        <w:pStyle w:val="Normal"/>
        <w:shd w:val="clear" w:color="auto" w:fill="FFFFFF"/>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Ces points sont attribués en fonction de l'ancienneté théorique dans la plage d'appel, calculée sur la base de l'échelon détenu et de l'ancienneté dans l'échelon au 31 août 2018, conformément au tableau ci-dessous.</w:t>
      </w:r>
    </w:p>
    <w:p>
      <w:pPr>
        <w:pStyle w:val="Normal"/>
        <w:shd w:val="clear" w:color="auto" w:fill="FFFFFF"/>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 </w:t>
      </w:r>
    </w:p>
    <w:tbl>
      <w:tblPr>
        <w:tblW w:w="5000" w:type="pct"/>
        <w:jc w:val="left"/>
        <w:tblInd w:w="6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30" w:type="dxa"/>
          <w:left w:w="52" w:type="dxa"/>
          <w:bottom w:w="30" w:type="dxa"/>
          <w:right w:w="60" w:type="dxa"/>
        </w:tblCellMar>
        <w:tblLook w:noVBand="1" w:val="04a0" w:noHBand="0" w:lastColumn="0" w:firstColumn="1" w:lastRow="0" w:firstRow="1"/>
      </w:tblPr>
      <w:tblGrid>
        <w:gridCol w:w="1254"/>
        <w:gridCol w:w="484"/>
        <w:gridCol w:w="483"/>
        <w:gridCol w:w="676"/>
        <w:gridCol w:w="676"/>
        <w:gridCol w:w="675"/>
        <w:gridCol w:w="675"/>
        <w:gridCol w:w="675"/>
        <w:gridCol w:w="675"/>
        <w:gridCol w:w="675"/>
        <w:gridCol w:w="675"/>
        <w:gridCol w:w="675"/>
        <w:gridCol w:w="773"/>
      </w:tblGrid>
      <w:tr>
        <w:trPr/>
        <w:tc>
          <w:tcPr>
            <w:tcW w:w="1254"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Échelon et ancienneté dans l'échelon au 31 août</w:t>
            </w:r>
          </w:p>
        </w:tc>
        <w:tc>
          <w:tcPr>
            <w:tcW w:w="484"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9 + 2</w:t>
            </w:r>
          </w:p>
        </w:tc>
        <w:tc>
          <w:tcPr>
            <w:tcW w:w="483"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9 + 3</w:t>
            </w:r>
          </w:p>
        </w:tc>
        <w:tc>
          <w:tcPr>
            <w:tcW w:w="67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10 + 0</w:t>
            </w:r>
          </w:p>
        </w:tc>
        <w:tc>
          <w:tcPr>
            <w:tcW w:w="67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10 + 1</w:t>
            </w:r>
          </w:p>
        </w:tc>
        <w:tc>
          <w:tcPr>
            <w:tcW w:w="67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10 + 2</w:t>
            </w:r>
          </w:p>
        </w:tc>
        <w:tc>
          <w:tcPr>
            <w:tcW w:w="67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10 + 3</w:t>
            </w:r>
          </w:p>
        </w:tc>
        <w:tc>
          <w:tcPr>
            <w:tcW w:w="67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11 + 0</w:t>
            </w:r>
          </w:p>
        </w:tc>
        <w:tc>
          <w:tcPr>
            <w:tcW w:w="67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11 + 1</w:t>
            </w:r>
          </w:p>
        </w:tc>
        <w:tc>
          <w:tcPr>
            <w:tcW w:w="67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11 + 2</w:t>
            </w:r>
          </w:p>
        </w:tc>
        <w:tc>
          <w:tcPr>
            <w:tcW w:w="67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11 + 3</w:t>
            </w:r>
          </w:p>
        </w:tc>
        <w:tc>
          <w:tcPr>
            <w:tcW w:w="67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11 + 4</w:t>
            </w:r>
          </w:p>
        </w:tc>
        <w:tc>
          <w:tcPr>
            <w:tcW w:w="773"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11 + 5 et plus</w:t>
            </w:r>
          </w:p>
        </w:tc>
      </w:tr>
      <w:tr>
        <w:trPr/>
        <w:tc>
          <w:tcPr>
            <w:tcW w:w="1254"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Ancienneté dans la plage d'appel</w:t>
            </w:r>
          </w:p>
        </w:tc>
        <w:tc>
          <w:tcPr>
            <w:tcW w:w="484"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0 an</w:t>
            </w:r>
          </w:p>
        </w:tc>
        <w:tc>
          <w:tcPr>
            <w:tcW w:w="483"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1 an</w:t>
            </w:r>
          </w:p>
        </w:tc>
        <w:tc>
          <w:tcPr>
            <w:tcW w:w="67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2 ans</w:t>
            </w:r>
          </w:p>
        </w:tc>
        <w:tc>
          <w:tcPr>
            <w:tcW w:w="67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3 ans</w:t>
            </w:r>
          </w:p>
        </w:tc>
        <w:tc>
          <w:tcPr>
            <w:tcW w:w="67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4 ans</w:t>
            </w:r>
          </w:p>
        </w:tc>
        <w:tc>
          <w:tcPr>
            <w:tcW w:w="67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5 ans</w:t>
            </w:r>
          </w:p>
        </w:tc>
        <w:tc>
          <w:tcPr>
            <w:tcW w:w="67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6 ans</w:t>
            </w:r>
          </w:p>
        </w:tc>
        <w:tc>
          <w:tcPr>
            <w:tcW w:w="67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7 ans</w:t>
            </w:r>
          </w:p>
        </w:tc>
        <w:tc>
          <w:tcPr>
            <w:tcW w:w="67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8 ans</w:t>
            </w:r>
          </w:p>
        </w:tc>
        <w:tc>
          <w:tcPr>
            <w:tcW w:w="67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9 ans</w:t>
            </w:r>
          </w:p>
        </w:tc>
        <w:tc>
          <w:tcPr>
            <w:tcW w:w="67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10 ans</w:t>
            </w:r>
          </w:p>
        </w:tc>
        <w:tc>
          <w:tcPr>
            <w:tcW w:w="773"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11 ans et plus</w:t>
            </w:r>
          </w:p>
        </w:tc>
      </w:tr>
      <w:tr>
        <w:trPr/>
        <w:tc>
          <w:tcPr>
            <w:tcW w:w="1254"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Points d'ancienneté</w:t>
            </w:r>
          </w:p>
        </w:tc>
        <w:tc>
          <w:tcPr>
            <w:tcW w:w="484"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 </w:t>
            </w:r>
            <w:r>
              <w:rPr>
                <w:rFonts w:eastAsia="Times New Roman" w:cs="Arial" w:ascii="Arial" w:hAnsi="Arial"/>
                <w:sz w:val="18"/>
                <w:szCs w:val="18"/>
                <w:lang w:eastAsia="fr-FR"/>
              </w:rPr>
              <w:t>0</w:t>
            </w:r>
          </w:p>
        </w:tc>
        <w:tc>
          <w:tcPr>
            <w:tcW w:w="483"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10</w:t>
            </w:r>
          </w:p>
        </w:tc>
        <w:tc>
          <w:tcPr>
            <w:tcW w:w="67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20</w:t>
            </w:r>
          </w:p>
        </w:tc>
        <w:tc>
          <w:tcPr>
            <w:tcW w:w="676"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30</w:t>
            </w:r>
          </w:p>
        </w:tc>
        <w:tc>
          <w:tcPr>
            <w:tcW w:w="67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40</w:t>
            </w:r>
          </w:p>
        </w:tc>
        <w:tc>
          <w:tcPr>
            <w:tcW w:w="67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50</w:t>
            </w:r>
          </w:p>
        </w:tc>
        <w:tc>
          <w:tcPr>
            <w:tcW w:w="67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70</w:t>
            </w:r>
          </w:p>
        </w:tc>
        <w:tc>
          <w:tcPr>
            <w:tcW w:w="67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80</w:t>
            </w:r>
          </w:p>
        </w:tc>
        <w:tc>
          <w:tcPr>
            <w:tcW w:w="67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90</w:t>
            </w:r>
          </w:p>
        </w:tc>
        <w:tc>
          <w:tcPr>
            <w:tcW w:w="67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100</w:t>
            </w:r>
          </w:p>
        </w:tc>
        <w:tc>
          <w:tcPr>
            <w:tcW w:w="67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110</w:t>
            </w:r>
          </w:p>
        </w:tc>
        <w:tc>
          <w:tcPr>
            <w:tcW w:w="773"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color="auto" w:fill="FDEEE9" w:val="clear"/>
            <w:tcMar>
              <w:left w:w="52" w:type="dxa"/>
            </w:tcMar>
            <w:vAlign w:val="center"/>
          </w:tcPr>
          <w:p>
            <w:pPr>
              <w:pStyle w:val="Normal"/>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120</w:t>
            </w:r>
          </w:p>
        </w:tc>
      </w:tr>
    </w:tbl>
    <w:p>
      <w:pPr>
        <w:pStyle w:val="Normal"/>
        <w:shd w:val="clear" w:color="auto" w:fill="FFFFFF"/>
        <w:spacing w:lineRule="auto" w:line="240" w:before="0" w:after="0"/>
        <w:rPr>
          <w:rFonts w:ascii="Arial" w:hAnsi="Arial" w:eastAsia="Times New Roman" w:cs="Arial"/>
          <w:sz w:val="18"/>
          <w:szCs w:val="18"/>
          <w:lang w:eastAsia="fr-FR"/>
        </w:rPr>
      </w:pPr>
      <w:r>
        <w:rPr>
          <w:rFonts w:eastAsia="Times New Roman" w:cs="Arial" w:ascii="Arial" w:hAnsi="Arial"/>
          <w:sz w:val="18"/>
          <w:szCs w:val="18"/>
          <w:lang w:eastAsia="fr-FR"/>
        </w:rPr>
        <w:t>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980290"/>
    <w:rPr>
      <w:rFonts w:ascii="Segoe UI" w:hAnsi="Segoe UI" w:cs="Segoe UI"/>
      <w:sz w:val="18"/>
      <w:szCs w:val="18"/>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itre5" w:customStyle="1">
    <w:name w:val="stitre5"/>
    <w:basedOn w:val="Normal"/>
    <w:qFormat/>
    <w:rsid w:val="00980290"/>
    <w:pPr>
      <w:spacing w:lineRule="auto" w:line="240" w:before="432" w:after="120"/>
    </w:pPr>
    <w:rPr>
      <w:rFonts w:ascii="Times New Roman" w:hAnsi="Times New Roman" w:eastAsia="Times New Roman" w:cs="Times New Roman"/>
      <w:b/>
      <w:bCs/>
      <w:color w:val="16808D"/>
      <w:sz w:val="26"/>
      <w:szCs w:val="26"/>
      <w:lang w:eastAsia="fr-FR"/>
    </w:rPr>
  </w:style>
  <w:style w:type="paragraph" w:styleId="Titreannexe1" w:customStyle="1">
    <w:name w:val="titreannexe1"/>
    <w:basedOn w:val="Normal"/>
    <w:qFormat/>
    <w:rsid w:val="00980290"/>
    <w:pPr>
      <w:spacing w:lineRule="auto" w:line="240" w:before="432" w:after="120"/>
    </w:pPr>
    <w:rPr>
      <w:rFonts w:ascii="Times New Roman" w:hAnsi="Times New Roman" w:eastAsia="Times New Roman" w:cs="Times New Roman"/>
      <w:b/>
      <w:bCs/>
      <w:color w:val="16808D"/>
      <w:sz w:val="26"/>
      <w:szCs w:val="26"/>
      <w:lang w:eastAsia="fr-FR"/>
    </w:rPr>
  </w:style>
  <w:style w:type="paragraph" w:styleId="BalloonText">
    <w:name w:val="Balloon Text"/>
    <w:basedOn w:val="Normal"/>
    <w:link w:val="TextedebullesCar"/>
    <w:uiPriority w:val="99"/>
    <w:semiHidden/>
    <w:unhideWhenUsed/>
    <w:qFormat/>
    <w:rsid w:val="00980290"/>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LibreOffice/4.4.7.2$Windows_x86 LibreOffice_project/f3153a8b245191196a4b6b9abd1d0da16eead600</Application>
  <Paragraphs>60</Paragraphs>
  <Company>Académie de Paris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2018-04-12T07:45:00Z</dcterms:created>
  <dc:creator>LEGAL Zahia</dc:creator>
  <dc:language>fr-FR</dc:language>
  <cp:lastModifiedBy>Christine Laroche</cp:lastModifiedBy>
  <cp:lastPrinted>2018-04-10T09:14:00Z</cp:lastPrinted>
  <dcterms:modified xsi:type="dcterms:W3CDTF">2018-04-12T07:45:00Z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Académie de Paris</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