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432" w:after="120"/>
        <w:rPr>
          <w:rFonts w:ascii="Arial" w:hAnsi="Arial" w:eastAsia="Times New Roman" w:cs="Arial"/>
          <w:b/>
          <w:b/>
          <w:bCs/>
          <w:color w:val="16808D"/>
          <w:sz w:val="20"/>
          <w:szCs w:val="20"/>
          <w:lang w:eastAsia="fr-FR"/>
        </w:rPr>
      </w:pPr>
      <w:bookmarkStart w:id="0" w:name="_GoBack"/>
      <w:bookmarkEnd w:id="0"/>
      <w:r>
        <w:rPr>
          <w:rFonts w:eastAsia="Times New Roman" w:cs="Arial" w:ascii="Arial" w:hAnsi="Arial"/>
          <w:b/>
          <w:bCs/>
          <w:color w:val="16808D"/>
          <w:sz w:val="20"/>
          <w:szCs w:val="20"/>
          <w:lang w:eastAsia="fr-FR"/>
        </w:rPr>
        <w:t>Annexe 1 - Valorisation des critères</w:t>
      </w:r>
    </w:p>
    <w:p>
      <w:pPr>
        <w:pStyle w:val="Normal"/>
        <w:shd w:val="clear" w:color="auto" w:fill="FFFFFF"/>
        <w:spacing w:lineRule="auto" w:line="240" w:before="432" w:after="120"/>
        <w:rPr>
          <w:rFonts w:ascii="Arial" w:hAnsi="Arial" w:eastAsia="Times New Roman" w:cs="Arial"/>
          <w:b/>
          <w:b/>
          <w:bCs/>
          <w:color w:val="16808D"/>
          <w:sz w:val="20"/>
          <w:szCs w:val="20"/>
          <w:lang w:eastAsia="fr-FR"/>
        </w:rPr>
      </w:pPr>
      <w:r>
        <w:rPr>
          <w:rFonts w:eastAsia="Times New Roman" w:cs="Arial" w:ascii="Arial" w:hAnsi="Arial"/>
          <w:b/>
          <w:bCs/>
          <w:color w:val="16808D"/>
          <w:sz w:val="20"/>
          <w:szCs w:val="20"/>
          <w:lang w:eastAsia="fr-FR"/>
        </w:rPr>
        <w:t>Appréciation de l'IA-Dasen</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tbl>
      <w:tblPr>
        <w:tblW w:w="5000" w:type="pct"/>
        <w:jc w:val="left"/>
        <w:tblInd w:w="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30" w:type="dxa"/>
          <w:left w:w="52" w:type="dxa"/>
          <w:bottom w:w="30" w:type="dxa"/>
          <w:right w:w="60" w:type="dxa"/>
        </w:tblCellMar>
        <w:tblLook w:noVBand="1" w:val="04a0" w:noHBand="0" w:lastColumn="0" w:firstColumn="1" w:lastRow="0" w:firstRow="1"/>
      </w:tblPr>
      <w:tblGrid>
        <w:gridCol w:w="4947"/>
        <w:gridCol w:w="4124"/>
      </w:tblGrid>
      <w:tr>
        <w:trPr/>
        <w:tc>
          <w:tcPr>
            <w:tcW w:w="4947"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Excellent</w:t>
            </w:r>
          </w:p>
        </w:tc>
        <w:tc>
          <w:tcPr>
            <w:tcW w:w="412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140 points</w:t>
            </w:r>
          </w:p>
        </w:tc>
      </w:tr>
      <w:tr>
        <w:trPr/>
        <w:tc>
          <w:tcPr>
            <w:tcW w:w="4947"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Très satisfaisant</w:t>
            </w:r>
          </w:p>
        </w:tc>
        <w:tc>
          <w:tcPr>
            <w:tcW w:w="412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90 points</w:t>
            </w:r>
          </w:p>
        </w:tc>
      </w:tr>
      <w:tr>
        <w:trPr/>
        <w:tc>
          <w:tcPr>
            <w:tcW w:w="4947"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Satisfaisant</w:t>
            </w:r>
          </w:p>
        </w:tc>
        <w:tc>
          <w:tcPr>
            <w:tcW w:w="412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40 points</w:t>
            </w:r>
          </w:p>
        </w:tc>
      </w:tr>
      <w:tr>
        <w:trPr/>
        <w:tc>
          <w:tcPr>
            <w:tcW w:w="4947"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Insatisfaisant</w:t>
            </w:r>
          </w:p>
        </w:tc>
        <w:tc>
          <w:tcPr>
            <w:tcW w:w="412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0</w:t>
            </w:r>
          </w:p>
        </w:tc>
      </w:tr>
    </w:tbl>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Le pourcentage des appréciations « Excellent » au titre des années 2017 et 2018 s'élève à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- 15% maximum des candidatures recevables pour le premier vivier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- 20% maximum des éligibles pour le second vivier.</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Le pourcentage des appréciations « Très satisfaisant » au titre des années 2017 et 2018 est fixé à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- 20% maximum des candidatures recevables pour le premier vivier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- 20% maximum des éligibles pour le second vivier.</w:t>
      </w:r>
    </w:p>
    <w:p>
      <w:pPr>
        <w:pStyle w:val="Normal"/>
        <w:shd w:val="clear" w:color="auto" w:fill="FFFFFF"/>
        <w:spacing w:lineRule="auto" w:line="240" w:before="432" w:after="120"/>
        <w:rPr>
          <w:rFonts w:ascii="Arial" w:hAnsi="Arial" w:eastAsia="Times New Roman" w:cs="Arial"/>
          <w:b/>
          <w:b/>
          <w:bCs/>
          <w:color w:val="16808D"/>
          <w:sz w:val="20"/>
          <w:szCs w:val="20"/>
          <w:lang w:eastAsia="fr-FR"/>
        </w:rPr>
      </w:pPr>
      <w:r>
        <w:rPr>
          <w:rFonts w:eastAsia="Times New Roman" w:cs="Arial" w:ascii="Arial" w:hAnsi="Arial"/>
          <w:b/>
          <w:bCs/>
          <w:color w:val="16808D"/>
          <w:sz w:val="20"/>
          <w:szCs w:val="20"/>
          <w:lang w:eastAsia="fr-FR"/>
        </w:rPr>
        <w:t>Ancienneté dans la plage d'appel</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Pour la campagne 2017, il est tenu compte de l'échelon de changement de grille au 1er septembre 2017 et de l'ancienneté conservée dans cet échelon à la même date.</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Pour les campagnes suivantes, il est tenu compte de l'échelon au 31 août de l'année au titre de laquelle le tableau d'avancement est établi et de l'ancienneté conservée dans cet échelon à la même date.</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tbl>
      <w:tblPr>
        <w:tblW w:w="5000" w:type="pct"/>
        <w:jc w:val="left"/>
        <w:tblInd w:w="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30" w:type="dxa"/>
          <w:left w:w="52" w:type="dxa"/>
          <w:bottom w:w="30" w:type="dxa"/>
          <w:right w:w="60" w:type="dxa"/>
        </w:tblCellMar>
        <w:tblLook w:noVBand="1" w:val="04a0" w:noHBand="0" w:lastColumn="0" w:firstColumn="1" w:lastRow="0" w:firstRow="1"/>
      </w:tblPr>
      <w:tblGrid>
        <w:gridCol w:w="5406"/>
        <w:gridCol w:w="3665"/>
      </w:tblGrid>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jc w:val="center"/>
              <w:rPr>
                <w:rFonts w:ascii="Arial" w:hAnsi="Arial" w:eastAsia="Times New Roman" w:cs="Arial"/>
                <w:color w:val="AD1C72"/>
                <w:sz w:val="18"/>
                <w:szCs w:val="18"/>
                <w:lang w:eastAsia="fr-FR"/>
              </w:rPr>
            </w:pPr>
            <w:r>
              <w:rPr>
                <w:rFonts w:eastAsia="Times New Roman" w:cs="Arial" w:ascii="Arial" w:hAnsi="Arial"/>
                <w:color w:val="AD1C72"/>
                <w:sz w:val="18"/>
                <w:szCs w:val="18"/>
                <w:lang w:eastAsia="fr-FR"/>
              </w:rPr>
              <w:t>Échelon et ancienneté au 1/9/2017</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jc w:val="center"/>
              <w:rPr>
                <w:rFonts w:ascii="Arial" w:hAnsi="Arial" w:eastAsia="Times New Roman" w:cs="Arial"/>
                <w:color w:val="AD1C72"/>
                <w:sz w:val="18"/>
                <w:szCs w:val="18"/>
                <w:lang w:eastAsia="fr-FR"/>
              </w:rPr>
            </w:pPr>
            <w:r>
              <w:rPr>
                <w:rFonts w:eastAsia="Times New Roman" w:cs="Arial" w:ascii="Arial" w:hAnsi="Arial"/>
                <w:color w:val="AD1C72"/>
                <w:sz w:val="18"/>
                <w:szCs w:val="18"/>
                <w:lang w:eastAsia="fr-FR"/>
              </w:rPr>
              <w:t>Valorisation de l'ancienneté dans la plage d'appel (sauf avis insatisfaisant)</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3e échelon hcl sans ancienneté</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3e échelon hcl ancienneté comprise entre 1 jour et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3e échelon hcl ancienneté comprise entre 1 an et 2 ans 5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4e échelon hcl sans ancienneté</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12</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4e échelon hcl ancienneté comprise entre 1 jour et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15</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4e échelon hcl ancienneté comprise entre 1 an et 1 an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18</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4e échelon hcl ancienneté comprise entre 2 ans et 2 ans 5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21</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5e échelon hcl sans ancienneté</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24</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5e échelon hcl ancienneté comprise entre 1 jour et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27</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5e échelon hcl ancienneté comprise entre 1an et 1 an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30</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5e échelon hcl ancienneté comprise entre 2 ans et 2 ans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33</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6e échelon hcl sans ancienneté</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36</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6e échelon hcl ancienneté comprise entre 1 jour et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39</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6e échelon hcl ancienneté comprise entre 1 an et 1 an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42</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6e échelon hcl ancienneté comprise entre 2 ans et 2 ans 11 mois 29 jours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45</w:t>
            </w:r>
          </w:p>
        </w:tc>
      </w:tr>
      <w:tr>
        <w:trPr/>
        <w:tc>
          <w:tcPr>
            <w:tcW w:w="540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6e échelon hcl ancienneté égale ou supérieure à 3 ans</w:t>
            </w:r>
          </w:p>
        </w:tc>
        <w:tc>
          <w:tcPr>
            <w:tcW w:w="36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48</w:t>
            </w:r>
          </w:p>
        </w:tc>
      </w:tr>
    </w:tbl>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L'ancienneté dans la plage d'appel d'un agent ayant une appréciation Insatisfaisant n'est pas valorisée.</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02716e"/>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tre5" w:customStyle="1">
    <w:name w:val="stitre5"/>
    <w:basedOn w:val="Normal"/>
    <w:qFormat/>
    <w:rsid w:val="0002716e"/>
    <w:pPr>
      <w:spacing w:lineRule="auto" w:line="240" w:before="432" w:after="120"/>
    </w:pPr>
    <w:rPr>
      <w:rFonts w:ascii="Times New Roman" w:hAnsi="Times New Roman" w:eastAsia="Times New Roman" w:cs="Times New Roman"/>
      <w:b/>
      <w:bCs/>
      <w:color w:val="16808D"/>
      <w:sz w:val="26"/>
      <w:szCs w:val="26"/>
      <w:lang w:eastAsia="fr-FR"/>
    </w:rPr>
  </w:style>
  <w:style w:type="paragraph" w:styleId="Titreannexe1" w:customStyle="1">
    <w:name w:val="titreannexe1"/>
    <w:basedOn w:val="Normal"/>
    <w:qFormat/>
    <w:rsid w:val="0002716e"/>
    <w:pPr>
      <w:spacing w:lineRule="auto" w:line="240" w:before="432" w:after="120"/>
    </w:pPr>
    <w:rPr>
      <w:rFonts w:ascii="Times New Roman" w:hAnsi="Times New Roman" w:eastAsia="Times New Roman" w:cs="Times New Roman"/>
      <w:b/>
      <w:bCs/>
      <w:color w:val="16808D"/>
      <w:sz w:val="26"/>
      <w:szCs w:val="26"/>
      <w:lang w:eastAsia="fr-FR"/>
    </w:rPr>
  </w:style>
  <w:style w:type="paragraph" w:styleId="BalloonText">
    <w:name w:val="Balloon Text"/>
    <w:basedOn w:val="Normal"/>
    <w:link w:val="TextedebullesCar"/>
    <w:uiPriority w:val="99"/>
    <w:semiHidden/>
    <w:unhideWhenUsed/>
    <w:qFormat/>
    <w:rsid w:val="0002716e"/>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LibreOffice/4.4.7.2$Windows_x86 LibreOffice_project/f3153a8b245191196a4b6b9abd1d0da16eead600</Application>
  <Paragraphs>58</Paragraphs>
  <Company>Académie de Paris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2018-04-13T08:34:00Z</dcterms:created>
  <dc:creator>LEGAL Zahia</dc:creator>
  <dc:language>fr-FR</dc:language>
  <cp:lastModifiedBy>Christine Laroche</cp:lastModifiedBy>
  <cp:lastPrinted>2018-04-10T08:39:00Z</cp:lastPrinted>
  <dcterms:modified xsi:type="dcterms:W3CDTF">2018-04-13T08:34:00Z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Académie de Paris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